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0B3D2E"/>
          <w:sz w:val="40"/>
        </w:rPr>
        <w:t>A-Level Economics: The First Term Survival Pack</w:t>
      </w:r>
    </w:p>
    <w:p>
      <w:r>
        <w:rPr>
          <w:b w:val="0"/>
          <w:i w:val="0"/>
          <w:sz w:val="19"/>
        </w:rPr>
        <w:t>AQA 7136 and Edexcel 9EC0, Year 12, first term. Free from The Business School, thebusiness.school/resources. Editable: change anything, keep it in your department, print it for a class. The exam board facts carry the document they came from, so if you change one, change the source note with it.</w:t>
      </w:r>
    </w:p>
    <w:p>
      <w:r>
        <w:rPr>
          <w:b/>
          <w:i w:val="0"/>
          <w:color w:val="0B3D2E"/>
          <w:sz w:val="36"/>
        </w:rPr>
        <w:t>The First Term Survival Pack</w:t>
      </w:r>
    </w:p>
    <w:p>
      <w:r>
        <w:rPr>
          <w:b w:val="0"/>
          <w:i w:val="0"/>
          <w:sz w:val="21"/>
        </w:rPr>
        <w:t>Where the marks actually are, what each mark scheme actually rewards, and the twenty per cent of the A-level that is arithmetic. Nine pages, and every fact in it comes from a board document you can open.</w:t>
      </w:r>
    </w:p>
    <w:p>
      <w:r>
        <w:rPr>
          <w:b w:val="0"/>
          <w:i w:val="0"/>
          <w:sz w:val="21"/>
        </w:rPr>
        <w:t>This is the pack for the person who is teaching Year 12 Economics this term and has not had time to read two specifications end to end. It is not a scheme of work and it is not revision material. It is the small set of things that change how you mark and what you drill in the first half term.</w:t>
      </w:r>
    </w:p>
    <w:p>
      <w:pPr>
        <w:spacing w:before="160"/>
      </w:pPr>
      <w:r>
        <w:rPr>
          <w:b/>
          <w:i w:val="0"/>
          <w:sz w:val="23"/>
        </w:rPr>
        <w:t>Where every fact here comes from</w:t>
      </w:r>
    </w:p>
    <w:p>
      <w:r>
        <w:rPr>
          <w:b w:val="0"/>
          <w:i w:val="0"/>
          <w:sz w:val="21"/>
        </w:rPr>
        <w:t>Read out of AQA's specification for 7135 and 7136 version 1.3, AQA's published mark scheme for A-level Economics 7136 Paper 1 June 2023, and Pearson's Getting Started guide for GCE Economics A. The document is named beside each claim and the links are on page 9.</w:t>
      </w:r>
    </w:p>
    <w:p>
      <w:r>
        <w:rPr>
          <w:b w:val="0"/>
          <w:i w:val="0"/>
          <w:sz w:val="21"/>
        </w:rPr>
        <w:t>Where this pack says something AQA or Pearson does not say, it is labelled Our view. Where a figure is invented for an exercise, it says so.</w:t>
      </w:r>
    </w:p>
    <w:p>
      <w:pPr>
        <w:spacing w:before="200"/>
      </w:pPr>
      <w:r>
        <w:rPr>
          <w:b/>
          <w:i w:val="0"/>
          <w:color w:val="0B3D2E"/>
          <w:sz w:val="28"/>
        </w:rPr>
        <w:t>What is inside</w:t>
      </w:r>
    </w:p>
    <w:tbl>
      <w:tblPr>
        <w:tblStyle w:val="TableGrid"/>
        <w:tblW w:type="auto" w:w="0"/>
        <w:tblLook w:firstColumn="1" w:firstRow="1" w:lastColumn="0" w:lastRow="0" w:noHBand="0" w:noVBand="1" w:val="04A0"/>
      </w:tblPr>
      <w:tblGrid>
        <w:gridCol w:w="4986"/>
        <w:gridCol w:w="4986"/>
      </w:tblGrid>
      <w:tr>
        <w:tc>
          <w:tcPr>
            <w:tcW w:type="dxa" w:w="4986"/>
          </w:tcPr>
          <w:p>
            <w:r/>
            <w:r>
              <w:rPr>
                <w:b/>
                <w:i w:val="0"/>
                <w:sz w:val="19"/>
              </w:rPr>
              <w:t>Page 2</w:t>
            </w:r>
          </w:p>
        </w:tc>
        <w:tc>
          <w:tcPr>
            <w:tcW w:type="dxa" w:w="4986"/>
          </w:tcPr>
          <w:p>
            <w:r/>
            <w:r>
              <w:rPr>
                <w:b w:val="0"/>
                <w:i w:val="0"/>
                <w:sz w:val="19"/>
              </w:rPr>
              <w:t>Both courses on one page. Papers, marks, time, weighting.</w:t>
            </w:r>
          </w:p>
        </w:tc>
      </w:tr>
      <w:tr>
        <w:tc>
          <w:tcPr>
            <w:tcW w:type="dxa" w:w="4986"/>
          </w:tcPr>
          <w:p>
            <w:r/>
            <w:r>
              <w:rPr>
                <w:b/>
                <w:i w:val="0"/>
                <w:sz w:val="19"/>
              </w:rPr>
              <w:t>Page 3</w:t>
            </w:r>
          </w:p>
        </w:tc>
        <w:tc>
          <w:tcPr>
            <w:tcW w:type="dxa" w:w="4986"/>
          </w:tcPr>
          <w:p>
            <w:r/>
            <w:r>
              <w:rPr>
                <w:b w:val="0"/>
                <w:i w:val="0"/>
                <w:sz w:val="19"/>
              </w:rPr>
              <w:t>Where the marks sit. A real AQA paper, question by question.</w:t>
            </w:r>
          </w:p>
        </w:tc>
      </w:tr>
      <w:tr>
        <w:tc>
          <w:tcPr>
            <w:tcW w:type="dxa" w:w="4986"/>
          </w:tcPr>
          <w:p>
            <w:r/>
            <w:r>
              <w:rPr>
                <w:b/>
                <w:i w:val="0"/>
                <w:sz w:val="19"/>
              </w:rPr>
              <w:t>Page 4</w:t>
            </w:r>
          </w:p>
        </w:tc>
        <w:tc>
          <w:tcPr>
            <w:tcW w:type="dxa" w:w="4986"/>
          </w:tcPr>
          <w:p>
            <w:r/>
            <w:r>
              <w:rPr>
                <w:b w:val="0"/>
                <w:i w:val="0"/>
                <w:sz w:val="19"/>
              </w:rPr>
              <w:t>The grid nobody reads. AQA's fifteen mark question rewards no evaluation.</w:t>
            </w:r>
          </w:p>
        </w:tc>
      </w:tr>
      <w:tr>
        <w:tc>
          <w:tcPr>
            <w:tcW w:type="dxa" w:w="4986"/>
          </w:tcPr>
          <w:p>
            <w:r/>
            <w:r>
              <w:rPr>
                <w:b/>
                <w:i w:val="0"/>
                <w:sz w:val="19"/>
              </w:rPr>
              <w:t>Page 5</w:t>
            </w:r>
          </w:p>
        </w:tc>
        <w:tc>
          <w:tcPr>
            <w:tcW w:type="dxa" w:w="4986"/>
          </w:tcPr>
          <w:p>
            <w:r/>
            <w:r>
              <w:rPr>
                <w:b w:val="0"/>
                <w:i w:val="0"/>
                <w:sz w:val="19"/>
              </w:rPr>
              <w:t>Edexcel's three extended response commands, in Pearson's own words.</w:t>
            </w:r>
          </w:p>
        </w:tc>
      </w:tr>
      <w:tr>
        <w:tc>
          <w:tcPr>
            <w:tcW w:type="dxa" w:w="4986"/>
          </w:tcPr>
          <w:p>
            <w:r/>
            <w:r>
              <w:rPr>
                <w:b/>
                <w:i w:val="0"/>
                <w:sz w:val="19"/>
              </w:rPr>
              <w:t>Page 6</w:t>
            </w:r>
          </w:p>
        </w:tc>
        <w:tc>
          <w:tcPr>
            <w:tcW w:type="dxa" w:w="4986"/>
          </w:tcPr>
          <w:p>
            <w:r/>
            <w:r>
              <w:rPr>
                <w:b w:val="0"/>
                <w:i w:val="0"/>
                <w:sz w:val="19"/>
              </w:rPr>
              <w:t>How Edexcel splits the marks. Two grids, two pots, and where the cap bites.</w:t>
            </w:r>
          </w:p>
        </w:tc>
      </w:tr>
      <w:tr>
        <w:tc>
          <w:tcPr>
            <w:tcW w:type="dxa" w:w="4986"/>
          </w:tcPr>
          <w:p>
            <w:r/>
            <w:r>
              <w:rPr>
                <w:b/>
                <w:i w:val="0"/>
                <w:sz w:val="19"/>
              </w:rPr>
              <w:t>Page 7</w:t>
            </w:r>
          </w:p>
        </w:tc>
        <w:tc>
          <w:tcPr>
            <w:tcW w:type="dxa" w:w="4986"/>
          </w:tcPr>
          <w:p>
            <w:r/>
            <w:r>
              <w:rPr>
                <w:b w:val="0"/>
                <w:i w:val="0"/>
                <w:sz w:val="19"/>
              </w:rPr>
              <w:t>The twenty per cent that is arithmetic, and the nine skills behind it.</w:t>
            </w:r>
          </w:p>
        </w:tc>
      </w:tr>
      <w:tr>
        <w:tc>
          <w:tcPr>
            <w:tcW w:type="dxa" w:w="4986"/>
          </w:tcPr>
          <w:p>
            <w:r/>
            <w:r>
              <w:rPr>
                <w:b/>
                <w:i w:val="0"/>
                <w:sz w:val="19"/>
              </w:rPr>
              <w:t>Page 8</w:t>
            </w:r>
          </w:p>
        </w:tc>
        <w:tc>
          <w:tcPr>
            <w:tcW w:type="dxa" w:w="4986"/>
          </w:tcPr>
          <w:p>
            <w:r/>
            <w:r>
              <w:rPr>
                <w:b w:val="0"/>
                <w:i w:val="0"/>
                <w:sz w:val="19"/>
              </w:rPr>
              <w:t>A nine question baseline test for week one, with answers.</w:t>
            </w:r>
          </w:p>
        </w:tc>
      </w:tr>
      <w:tr>
        <w:tc>
          <w:tcPr>
            <w:tcW w:type="dxa" w:w="4986"/>
          </w:tcPr>
          <w:p>
            <w:r/>
            <w:r>
              <w:rPr>
                <w:b/>
                <w:i w:val="0"/>
                <w:sz w:val="19"/>
              </w:rPr>
              <w:t>Page 9</w:t>
            </w:r>
          </w:p>
        </w:tc>
        <w:tc>
          <w:tcPr>
            <w:tcW w:type="dxa" w:w="4986"/>
          </w:tcPr>
          <w:p>
            <w:r/>
            <w:r>
              <w:rPr>
                <w:b w:val="0"/>
                <w:i w:val="0"/>
                <w:sz w:val="19"/>
              </w:rPr>
              <w:t>A first half term checklist, and how to check this pack yourself.</w:t>
            </w:r>
          </w:p>
        </w:tc>
      </w:tr>
    </w:tbl>
    <w:p/>
    <w:p>
      <w:pPr>
        <w:spacing w:before="200"/>
      </w:pPr>
      <w:r>
        <w:rPr>
          <w:b/>
          <w:i w:val="0"/>
          <w:color w:val="0B3D2E"/>
          <w:sz w:val="28"/>
        </w:rPr>
        <w:t>The whole pack in four lines</w:t>
      </w:r>
    </w:p>
    <w:p>
      <w:pPr>
        <w:pStyle w:val="ListBullet"/>
      </w:pPr>
      <w:r>
        <w:rPr>
          <w:b w:val="0"/>
          <w:i w:val="0"/>
          <w:sz w:val="21"/>
        </w:rPr>
        <w:t>On AQA, half of Paper 1 sits on two questions worth 25 marks each.</w:t>
      </w:r>
    </w:p>
    <w:p>
      <w:pPr>
        <w:pStyle w:val="ListBullet"/>
      </w:pPr>
      <w:r>
        <w:rPr>
          <w:b w:val="0"/>
          <w:i w:val="0"/>
          <w:sz w:val="21"/>
        </w:rPr>
        <w:t>AQA's 15 mark grid never mentions evaluation. Its 25 mark grid wants it throughout, not at the end.</w:t>
      </w:r>
    </w:p>
    <w:p>
      <w:pPr>
        <w:pStyle w:val="ListBullet"/>
      </w:pPr>
      <w:r>
        <w:rPr>
          <w:b w:val="0"/>
          <w:i w:val="0"/>
          <w:sz w:val="21"/>
        </w:rPr>
        <w:t>Pearson names three extended response commands and attaches no mark tariffs to them.</w:t>
      </w:r>
    </w:p>
    <w:p>
      <w:pPr>
        <w:pStyle w:val="ListBullet"/>
      </w:pPr>
      <w:r>
        <w:rPr>
          <w:b w:val="0"/>
          <w:i w:val="0"/>
          <w:sz w:val="21"/>
        </w:rPr>
        <w:t>Both boards guarantee that at least a fifth of the A-level is quantitative, and interpreting a chart counts.</w:t>
      </w:r>
    </w:p>
    <w:p>
      <w:r>
        <w:t>______________________________________________________________</w:t>
      </w:r>
    </w:p>
    <w:p>
      <w:r>
        <w:rPr>
          <w:b/>
          <w:i w:val="0"/>
          <w:sz w:val="21"/>
        </w:rPr>
        <w:t>Currency, since it is the first thing to go wrong.</w:t>
      </w:r>
      <w:r>
        <w:rPr>
          <w:b w:val="0"/>
          <w:i w:val="0"/>
          <w:sz w:val="21"/>
        </w:rPr>
        <w:t xml:space="preserve"> Neither AQA 7136 nor Edexcel 9EC0 has a replacement or a withdrawal announced, so nothing here is written to a specification that is going. Both boards' pages were opened on 17 August 2026. Pearson has said something more than that, and it is on page 9.</w:t>
      </w:r>
    </w:p>
    <w:p>
      <w:r>
        <w:br w:type="page"/>
      </w:r>
    </w:p>
    <w:p>
      <w:pPr>
        <w:spacing w:before="200"/>
      </w:pPr>
      <w:r>
        <w:rPr>
          <w:b/>
          <w:i w:val="0"/>
          <w:color w:val="0B3D2E"/>
          <w:sz w:val="28"/>
        </w:rPr>
        <w:t>AQA A-level Economics 7136</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
              <w:rPr>
                <w:b/>
                <w:i w:val="0"/>
                <w:sz w:val="19"/>
              </w:rPr>
              <w:t>Paper</w:t>
            </w:r>
          </w:p>
        </w:tc>
        <w:tc>
          <w:tcPr>
            <w:tcW w:type="dxa" w:w="2493"/>
          </w:tcPr>
          <w:p>
            <w:r/>
            <w:r>
              <w:rPr>
                <w:b/>
                <w:i w:val="0"/>
                <w:sz w:val="19"/>
              </w:rPr>
              <w:t>Content</w:t>
            </w:r>
          </w:p>
        </w:tc>
        <w:tc>
          <w:tcPr>
            <w:tcW w:type="dxa" w:w="2493"/>
          </w:tcPr>
          <w:p>
            <w:r/>
            <w:r>
              <w:rPr>
                <w:b/>
                <w:i w:val="0"/>
                <w:sz w:val="19"/>
              </w:rPr>
              <w:t>Format</w:t>
            </w:r>
          </w:p>
        </w:tc>
        <w:tc>
          <w:tcPr>
            <w:tcW w:type="dxa" w:w="2493"/>
          </w:tcPr>
          <w:p>
            <w:r/>
            <w:r>
              <w:rPr>
                <w:b/>
                <w:i w:val="0"/>
                <w:sz w:val="19"/>
              </w:rPr>
              <w:t>Sections</w:t>
            </w:r>
          </w:p>
        </w:tc>
      </w:tr>
      <w:tr>
        <w:tc>
          <w:tcPr>
            <w:tcW w:type="dxa" w:w="2493"/>
          </w:tcPr>
          <w:p>
            <w:r/>
            <w:r>
              <w:rPr>
                <w:b/>
                <w:i w:val="0"/>
                <w:sz w:val="19"/>
              </w:rPr>
              <w:t>1</w:t>
            </w:r>
            <w:r>
              <w:rPr>
                <w:b w:val="0"/>
                <w:i w:val="0"/>
                <w:sz w:val="19"/>
              </w:rPr>
              <w:t xml:space="preserve"> / Markets and market failure</w:t>
            </w:r>
          </w:p>
        </w:tc>
        <w:tc>
          <w:tcPr>
            <w:tcW w:type="dxa" w:w="2493"/>
          </w:tcPr>
          <w:p>
            <w:r/>
            <w:r>
              <w:rPr>
                <w:b w:val="0"/>
                <w:i w:val="0"/>
                <w:sz w:val="19"/>
              </w:rPr>
              <w:t>Content 1 to 8</w:t>
            </w:r>
          </w:p>
        </w:tc>
        <w:tc>
          <w:tcPr>
            <w:tcW w:type="dxa" w:w="2493"/>
          </w:tcPr>
          <w:p>
            <w:r/>
            <w:r>
              <w:rPr>
                <w:b w:val="0"/>
                <w:i w:val="0"/>
                <w:sz w:val="19"/>
              </w:rPr>
              <w:t>2 hours / 80 marks / 33.3%</w:t>
            </w:r>
          </w:p>
        </w:tc>
        <w:tc>
          <w:tcPr>
            <w:tcW w:type="dxa" w:w="2493"/>
          </w:tcPr>
          <w:p>
            <w:r/>
            <w:r>
              <w:rPr>
                <w:b/>
                <w:i w:val="0"/>
                <w:sz w:val="19"/>
              </w:rPr>
              <w:t>A</w:t>
            </w:r>
            <w:r>
              <w:rPr>
                <w:b w:val="0"/>
                <w:i w:val="0"/>
                <w:sz w:val="19"/>
              </w:rPr>
              <w:t xml:space="preserve"> data response, choice of one context from two, 40 marks. </w:t>
            </w:r>
            <w:r>
              <w:rPr>
                <w:b/>
                <w:i w:val="0"/>
                <w:sz w:val="19"/>
              </w:rPr>
              <w:t>B</w:t>
            </w:r>
            <w:r>
              <w:rPr>
                <w:b w:val="0"/>
                <w:i w:val="0"/>
                <w:sz w:val="19"/>
              </w:rPr>
              <w:t xml:space="preserve"> essays, choice of one from three, 40 marks.</w:t>
            </w:r>
          </w:p>
        </w:tc>
      </w:tr>
      <w:tr>
        <w:tc>
          <w:tcPr>
            <w:tcW w:type="dxa" w:w="2493"/>
          </w:tcPr>
          <w:p>
            <w:r/>
            <w:r>
              <w:rPr>
                <w:b/>
                <w:i w:val="0"/>
                <w:sz w:val="19"/>
              </w:rPr>
              <w:t>2</w:t>
            </w:r>
            <w:r>
              <w:rPr>
                <w:b w:val="0"/>
                <w:i w:val="0"/>
                <w:sz w:val="19"/>
              </w:rPr>
              <w:t xml:space="preserve"> / National and international economy</w:t>
            </w:r>
          </w:p>
        </w:tc>
        <w:tc>
          <w:tcPr>
            <w:tcW w:type="dxa" w:w="2493"/>
          </w:tcPr>
          <w:p>
            <w:r/>
            <w:r>
              <w:rPr>
                <w:b w:val="0"/>
                <w:i w:val="0"/>
                <w:sz w:val="19"/>
              </w:rPr>
              <w:t>Content 9 to 14</w:t>
            </w:r>
          </w:p>
        </w:tc>
        <w:tc>
          <w:tcPr>
            <w:tcW w:type="dxa" w:w="2493"/>
          </w:tcPr>
          <w:p>
            <w:r/>
            <w:r>
              <w:rPr>
                <w:b w:val="0"/>
                <w:i w:val="0"/>
                <w:sz w:val="19"/>
              </w:rPr>
              <w:t>2 hours / 80 marks / 33.3%</w:t>
            </w:r>
          </w:p>
        </w:tc>
        <w:tc>
          <w:tcPr>
            <w:tcW w:type="dxa" w:w="2493"/>
          </w:tcPr>
          <w:p>
            <w:r/>
            <w:r>
              <w:rPr>
                <w:b w:val="0"/>
                <w:i w:val="0"/>
                <w:sz w:val="19"/>
              </w:rPr>
              <w:t>The same structure as Paper 1.</w:t>
            </w:r>
          </w:p>
        </w:tc>
      </w:tr>
      <w:tr>
        <w:tc>
          <w:tcPr>
            <w:tcW w:type="dxa" w:w="2493"/>
          </w:tcPr>
          <w:p>
            <w:r/>
            <w:r>
              <w:rPr>
                <w:b/>
                <w:i w:val="0"/>
                <w:sz w:val="19"/>
              </w:rPr>
              <w:t>3</w:t>
            </w:r>
            <w:r>
              <w:rPr>
                <w:b w:val="0"/>
                <w:i w:val="0"/>
                <w:sz w:val="19"/>
              </w:rPr>
              <w:t xml:space="preserve"> / Economic principles and issues</w:t>
            </w:r>
          </w:p>
        </w:tc>
        <w:tc>
          <w:tcPr>
            <w:tcW w:type="dxa" w:w="2493"/>
          </w:tcPr>
          <w:p>
            <w:r/>
            <w:r>
              <w:rPr>
                <w:b w:val="0"/>
                <w:i w:val="0"/>
                <w:sz w:val="19"/>
              </w:rPr>
              <w:t>All content 1 to 14</w:t>
            </w:r>
          </w:p>
        </w:tc>
        <w:tc>
          <w:tcPr>
            <w:tcW w:type="dxa" w:w="2493"/>
          </w:tcPr>
          <w:p>
            <w:r/>
            <w:r>
              <w:rPr>
                <w:b w:val="0"/>
                <w:i w:val="0"/>
                <w:sz w:val="19"/>
              </w:rPr>
              <w:t>2 hours / 80 marks / 33.3%</w:t>
            </w:r>
          </w:p>
        </w:tc>
        <w:tc>
          <w:tcPr>
            <w:tcW w:type="dxa" w:w="2493"/>
          </w:tcPr>
          <w:p>
            <w:r/>
            <w:r>
              <w:rPr>
                <w:b/>
                <w:i w:val="0"/>
                <w:sz w:val="19"/>
              </w:rPr>
              <w:t>A</w:t>
            </w:r>
            <w:r>
              <w:rPr>
                <w:b w:val="0"/>
                <w:i w:val="0"/>
                <w:sz w:val="19"/>
              </w:rPr>
              <w:t xml:space="preserve"> multiple choice, 30 marks. </w:t>
            </w:r>
            <w:r>
              <w:rPr>
                <w:b/>
                <w:i w:val="0"/>
                <w:sz w:val="19"/>
              </w:rPr>
              <w:t>B</w:t>
            </w:r>
            <w:r>
              <w:rPr>
                <w:b w:val="0"/>
                <w:i w:val="0"/>
                <w:sz w:val="19"/>
              </w:rPr>
              <w:t xml:space="preserve"> case study, 50 marks. AQA writes that these are extended response questions which require a student to draw together different areas of the specification.</w:t>
            </w:r>
          </w:p>
        </w:tc>
      </w:tr>
      <w:tr>
        <w:tc>
          <w:tcPr>
            <w:tcW w:type="dxa" w:w="2493"/>
          </w:tcPr>
          <w:p>
            <w:r/>
            <w:r>
              <w:rPr>
                <w:b w:val="0"/>
                <w:i w:val="0"/>
                <w:sz w:val="19"/>
              </w:rPr>
              <w:t>Total scaled mark</w:t>
            </w:r>
          </w:p>
        </w:tc>
        <w:tc>
          <w:tcPr>
            <w:tcW w:type="dxa" w:w="2493"/>
          </w:tcPr>
          <w:p>
            <w:r/>
            <w:r>
              <w:rPr>
                <w:b w:val="0"/>
                <w:i w:val="0"/>
                <w:sz w:val="19"/>
              </w:rPr>
              <w:t>240</w:t>
            </w:r>
          </w:p>
        </w:tc>
        <w:tc>
          <w:tcPr>
            <w:tcW w:type="dxa" w:w="2493"/>
          </w:tcPr>
          <w:p>
            <w:r/>
            <w:r>
              <w:rPr>
                <w:b w:val="0"/>
                <w:i w:val="0"/>
                <w:sz w:val="19"/>
              </w:rPr>
              <w:t>All compulsory</w:t>
            </w:r>
          </w:p>
        </w:tc>
        <w:tc>
          <w:tcPr>
            <w:tcW w:type="dxa" w:w="2493"/>
          </w:tcPr>
          <w:p>
            <w:r/>
            <w:r>
              <w:rPr>
                <w:b w:val="0"/>
                <w:i w:val="0"/>
                <w:sz w:val="19"/>
              </w:rPr>
              <w:t>The specification describes a choice of questions in Papers 1 and 2 only.</w:t>
            </w:r>
          </w:p>
        </w:tc>
      </w:tr>
    </w:tbl>
    <w:p/>
    <w:p>
      <w:pPr>
        <w:spacing w:before="200"/>
      </w:pPr>
      <w:r>
        <w:rPr>
          <w:b/>
          <w:i w:val="0"/>
          <w:color w:val="0B3D2E"/>
          <w:sz w:val="28"/>
        </w:rPr>
        <w:t>Pearson Edexcel A level Economics A, 9EC0</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
              <w:rPr>
                <w:b/>
                <w:i w:val="0"/>
                <w:sz w:val="19"/>
              </w:rPr>
              <w:t>Paper</w:t>
            </w:r>
          </w:p>
        </w:tc>
        <w:tc>
          <w:tcPr>
            <w:tcW w:type="dxa" w:w="2493"/>
          </w:tcPr>
          <w:p>
            <w:r/>
            <w:r>
              <w:rPr>
                <w:b/>
                <w:i w:val="0"/>
                <w:sz w:val="19"/>
              </w:rPr>
              <w:t>Content</w:t>
            </w:r>
          </w:p>
        </w:tc>
        <w:tc>
          <w:tcPr>
            <w:tcW w:type="dxa" w:w="2493"/>
          </w:tcPr>
          <w:p>
            <w:r/>
            <w:r>
              <w:rPr>
                <w:b/>
                <w:i w:val="0"/>
                <w:sz w:val="19"/>
              </w:rPr>
              <w:t>Format</w:t>
            </w:r>
          </w:p>
        </w:tc>
        <w:tc>
          <w:tcPr>
            <w:tcW w:type="dxa" w:w="2493"/>
          </w:tcPr>
          <w:p>
            <w:r/>
            <w:r>
              <w:rPr>
                <w:b/>
                <w:i w:val="0"/>
                <w:sz w:val="19"/>
              </w:rPr>
              <w:t>Sections</w:t>
            </w:r>
          </w:p>
        </w:tc>
      </w:tr>
      <w:tr>
        <w:tc>
          <w:tcPr>
            <w:tcW w:type="dxa" w:w="2493"/>
          </w:tcPr>
          <w:p>
            <w:r/>
            <w:r>
              <w:rPr>
                <w:b/>
                <w:i w:val="0"/>
                <w:sz w:val="19"/>
              </w:rPr>
              <w:t>1</w:t>
            </w:r>
            <w:r>
              <w:rPr>
                <w:b w:val="0"/>
                <w:i w:val="0"/>
                <w:sz w:val="19"/>
              </w:rPr>
              <w:t xml:space="preserve"> / Markets and business behaviour</w:t>
            </w:r>
          </w:p>
        </w:tc>
        <w:tc>
          <w:tcPr>
            <w:tcW w:type="dxa" w:w="2493"/>
          </w:tcPr>
          <w:p>
            <w:r/>
            <w:r>
              <w:rPr>
                <w:b w:val="0"/>
                <w:i w:val="0"/>
                <w:sz w:val="19"/>
              </w:rPr>
              <w:t>Themes 1 and 3</w:t>
            </w:r>
          </w:p>
        </w:tc>
        <w:tc>
          <w:tcPr>
            <w:tcW w:type="dxa" w:w="2493"/>
          </w:tcPr>
          <w:p>
            <w:r/>
            <w:r>
              <w:rPr>
                <w:b w:val="0"/>
                <w:i w:val="0"/>
                <w:sz w:val="19"/>
              </w:rPr>
              <w:t>2 hours / 100 marks / 35%</w:t>
            </w:r>
          </w:p>
        </w:tc>
        <w:tc>
          <w:tcPr>
            <w:tcW w:type="dxa" w:w="2493"/>
          </w:tcPr>
          <w:p>
            <w:r/>
            <w:r>
              <w:rPr>
                <w:b/>
                <w:i w:val="0"/>
                <w:sz w:val="19"/>
              </w:rPr>
              <w:t>A</w:t>
            </w:r>
            <w:r>
              <w:rPr>
                <w:b w:val="0"/>
                <w:i w:val="0"/>
                <w:sz w:val="19"/>
              </w:rPr>
              <w:t xml:space="preserve"> multiple choice and short answer, all questions. </w:t>
            </w:r>
            <w:r>
              <w:rPr>
                <w:b/>
                <w:i w:val="0"/>
                <w:sz w:val="19"/>
              </w:rPr>
              <w:t>B</w:t>
            </w:r>
            <w:r>
              <w:rPr>
                <w:b w:val="0"/>
                <w:i w:val="0"/>
                <w:sz w:val="19"/>
              </w:rPr>
              <w:t xml:space="preserve"> one data response in parts. </w:t>
            </w:r>
            <w:r>
              <w:rPr>
                <w:b/>
                <w:i w:val="0"/>
                <w:sz w:val="19"/>
              </w:rPr>
              <w:t>C</w:t>
            </w:r>
            <w:r>
              <w:rPr>
                <w:b w:val="0"/>
                <w:i w:val="0"/>
                <w:sz w:val="19"/>
              </w:rPr>
              <w:t xml:space="preserve"> one extended open-response question, one from two.</w:t>
            </w:r>
          </w:p>
        </w:tc>
      </w:tr>
      <w:tr>
        <w:tc>
          <w:tcPr>
            <w:tcW w:type="dxa" w:w="2493"/>
          </w:tcPr>
          <w:p>
            <w:r/>
            <w:r>
              <w:rPr>
                <w:b/>
                <w:i w:val="0"/>
                <w:sz w:val="19"/>
              </w:rPr>
              <w:t>2</w:t>
            </w:r>
            <w:r>
              <w:rPr>
                <w:b w:val="0"/>
                <w:i w:val="0"/>
                <w:sz w:val="19"/>
              </w:rPr>
              <w:t xml:space="preserve"> / The national and global economy</w:t>
            </w:r>
          </w:p>
        </w:tc>
        <w:tc>
          <w:tcPr>
            <w:tcW w:type="dxa" w:w="2493"/>
          </w:tcPr>
          <w:p>
            <w:r/>
            <w:r>
              <w:rPr>
                <w:b w:val="0"/>
                <w:i w:val="0"/>
                <w:sz w:val="19"/>
              </w:rPr>
              <w:t>Themes 2 and 4</w:t>
            </w:r>
          </w:p>
        </w:tc>
        <w:tc>
          <w:tcPr>
            <w:tcW w:type="dxa" w:w="2493"/>
          </w:tcPr>
          <w:p>
            <w:r/>
            <w:r>
              <w:rPr>
                <w:b w:val="0"/>
                <w:i w:val="0"/>
                <w:sz w:val="19"/>
              </w:rPr>
              <w:t>2 hours / 100 marks / 35%</w:t>
            </w:r>
          </w:p>
        </w:tc>
        <w:tc>
          <w:tcPr>
            <w:tcW w:type="dxa" w:w="2493"/>
          </w:tcPr>
          <w:p>
            <w:r/>
            <w:r>
              <w:rPr>
                <w:b w:val="0"/>
                <w:i w:val="0"/>
                <w:sz w:val="19"/>
              </w:rPr>
              <w:t>The same structure as Paper 1.</w:t>
            </w:r>
          </w:p>
        </w:tc>
      </w:tr>
      <w:tr>
        <w:tc>
          <w:tcPr>
            <w:tcW w:type="dxa" w:w="2493"/>
          </w:tcPr>
          <w:p>
            <w:r/>
            <w:r>
              <w:rPr>
                <w:b/>
                <w:i w:val="0"/>
                <w:sz w:val="19"/>
              </w:rPr>
              <w:t>3</w:t>
            </w:r>
            <w:r>
              <w:rPr>
                <w:b w:val="0"/>
                <w:i w:val="0"/>
                <w:sz w:val="19"/>
              </w:rPr>
              <w:t xml:space="preserve"> / Microeconomics and macroeconomics</w:t>
            </w:r>
          </w:p>
        </w:tc>
        <w:tc>
          <w:tcPr>
            <w:tcW w:type="dxa" w:w="2493"/>
          </w:tcPr>
          <w:p>
            <w:r/>
            <w:r>
              <w:rPr>
                <w:b w:val="0"/>
                <w:i w:val="0"/>
                <w:sz w:val="19"/>
              </w:rPr>
              <w:t>All themes</w:t>
            </w:r>
          </w:p>
        </w:tc>
        <w:tc>
          <w:tcPr>
            <w:tcW w:type="dxa" w:w="2493"/>
          </w:tcPr>
          <w:p>
            <w:r/>
            <w:r>
              <w:rPr>
                <w:b w:val="0"/>
                <w:i w:val="0"/>
                <w:sz w:val="19"/>
              </w:rPr>
              <w:t>2 hours / 100 marks / 30%</w:t>
            </w:r>
          </w:p>
        </w:tc>
        <w:tc>
          <w:tcPr>
            <w:tcW w:type="dxa" w:w="2493"/>
          </w:tcPr>
          <w:p>
            <w:r/>
            <w:r>
              <w:rPr>
                <w:b w:val="0"/>
                <w:i w:val="0"/>
                <w:sz w:val="19"/>
              </w:rPr>
              <w:t>Two stimulus based data response questions, each in parts, each containing one extended open response chosen from two.</w:t>
            </w:r>
          </w:p>
        </w:tc>
      </w:tr>
      <w:tr>
        <w:tc>
          <w:tcPr>
            <w:tcW w:type="dxa" w:w="2493"/>
          </w:tcPr>
          <w:p>
            <w:r/>
            <w:r>
              <w:rPr>
                <w:b w:val="0"/>
                <w:i w:val="0"/>
                <w:sz w:val="19"/>
              </w:rPr>
              <w:t>Total</w:t>
            </w:r>
          </w:p>
        </w:tc>
        <w:tc>
          <w:tcPr>
            <w:tcW w:type="dxa" w:w="2493"/>
          </w:tcPr>
          <w:p>
            <w:r/>
            <w:r>
              <w:rPr>
                <w:b w:val="0"/>
                <w:i w:val="0"/>
                <w:sz w:val="19"/>
              </w:rPr>
              <w:t>300 marks</w:t>
            </w:r>
          </w:p>
        </w:tc>
        <w:tc>
          <w:tcPr>
            <w:tcW w:type="dxa" w:w="2493"/>
          </w:tcPr>
          <w:p>
            <w:r/>
            <w:r>
              <w:rPr>
                <w:b w:val="0"/>
                <w:i w:val="0"/>
                <w:sz w:val="19"/>
              </w:rPr>
              <w:t>All compulsory</w:t>
            </w:r>
          </w:p>
        </w:tc>
        <w:tc>
          <w:tcPr>
            <w:tcW w:type="dxa" w:w="2493"/>
          </w:tcPr>
          <w:p>
            <w:r/>
            <w:r>
              <w:rPr>
                <w:b w:val="0"/>
                <w:i w:val="0"/>
                <w:sz w:val="19"/>
              </w:rPr>
              <w:t>Themes: 1 markets and market failure, 2 the UK economy, 3 business behaviour and the labour market, 4 a global perspective.</w:t>
            </w:r>
          </w:p>
        </w:tc>
      </w:tr>
    </w:tbl>
    <w:p/>
    <w:p>
      <w:r>
        <w:rPr>
          <w:b/>
          <w:i w:val="0"/>
          <w:sz w:val="21"/>
        </w:rPr>
        <w:t>The structural difference.</w:t>
      </w:r>
      <w:r>
        <w:rPr>
          <w:b w:val="0"/>
          <w:i w:val="0"/>
          <w:sz w:val="21"/>
        </w:rPr>
        <w:t xml:space="preserve"> AQA splits micro and macro across Papers 1 and 2 and reunites them in Paper 3. Edexcel pairs a first year theme with a second year theme in both, so a student cannot finish Theme 1 and file it away.</w:t>
      </w:r>
    </w:p>
    <w:p>
      <w:pPr>
        <w:spacing w:before="160"/>
      </w:pPr>
      <w:r>
        <w:rPr>
          <w:b/>
          <w:i w:val="0"/>
          <w:sz w:val="23"/>
        </w:rPr>
        <w:t>Assessment objectives: the same four on both boards</w:t>
      </w:r>
    </w:p>
    <w:p>
      <w:r>
        <w:rPr>
          <w:b w:val="0"/>
          <w:i w:val="0"/>
          <w:sz w:val="21"/>
        </w:rPr>
        <w:t>AQA prints this and it is worth knowing before you compare anything: "Assessment objectives (AOs) are set by Ofqual and are the same across all AS and A-level Economics specifications and all exam boards." The four objectives are therefore identical on AQA and Edexcel. What differs is the weighting. Both boards publish theirs as ranges, so an exact per cent is somebody's estimate. AQA’s A-level ranges are AO1 20 to 23, AO2 26 to 29, AO3 26 to 29 and AO4 22 to 25, so analysis and evaluation together are more than half the qualification.</w:t>
      </w:r>
    </w:p>
    <w:p>
      <w:r>
        <w:t>______________________________________________________________</w:t>
      </w:r>
    </w:p>
    <w:p>
      <w:r>
        <w:rPr>
          <w:b/>
          <w:i w:val="0"/>
          <w:sz w:val="21"/>
        </w:rPr>
        <w:t>Where to look.</w:t>
      </w:r>
      <w:r>
        <w:rPr>
          <w:b w:val="0"/>
          <w:i w:val="0"/>
          <w:sz w:val="21"/>
        </w:rPr>
        <w:t xml:space="preserve"> AQA specification, section 2 and section 5.3. Pearson, Getting Started guide, section 5.3.</w:t>
      </w:r>
    </w:p>
    <w:p>
      <w:r>
        <w:br w:type="page"/>
      </w:r>
    </w:p>
    <w:p>
      <w:pPr>
        <w:spacing w:before="200"/>
      </w:pPr>
      <w:r>
        <w:rPr>
          <w:b/>
          <w:i w:val="0"/>
          <w:color w:val="0B3D2E"/>
          <w:sz w:val="28"/>
        </w:rPr>
        <w:t>A real AQA paper, question by question</w:t>
      </w:r>
    </w:p>
    <w:p>
      <w:r>
        <w:rPr>
          <w:b w:val="0"/>
          <w:i w:val="0"/>
          <w:sz w:val="21"/>
        </w:rPr>
        <w:t>Specifications describe papers in the abstract. This is what one actually looked like. Every row is read off AQA's published mark scheme for A-level Economics 7136 Paper 1, June 2023.</w:t>
      </w:r>
    </w:p>
    <w:p>
      <w:pPr>
        <w:spacing w:before="160"/>
      </w:pPr>
      <w:r>
        <w:rPr>
          <w:b/>
          <w:i w:val="0"/>
          <w:sz w:val="23"/>
        </w:rPr>
        <w:t>Section A, data response. Students choose one context from two, and each context is worth 40 marks</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
              <w:rPr>
                <w:b/>
                <w:i w:val="0"/>
                <w:sz w:val="19"/>
              </w:rPr>
              <w:t>Q</w:t>
            </w:r>
          </w:p>
        </w:tc>
        <w:tc>
          <w:tcPr>
            <w:tcW w:type="dxa" w:w="2493"/>
          </w:tcPr>
          <w:p>
            <w:r/>
            <w:r>
              <w:rPr>
                <w:b/>
                <w:i w:val="0"/>
                <w:sz w:val="19"/>
              </w:rPr>
              <w:t>Marks</w:t>
            </w:r>
          </w:p>
        </w:tc>
        <w:tc>
          <w:tcPr>
            <w:tcW w:type="dxa" w:w="2493"/>
          </w:tcPr>
          <w:p>
            <w:r/>
            <w:r>
              <w:rPr>
                <w:b/>
                <w:i w:val="0"/>
                <w:sz w:val="19"/>
              </w:rPr>
              <w:t>Command</w:t>
            </w:r>
          </w:p>
        </w:tc>
        <w:tc>
          <w:tcPr>
            <w:tcW w:type="dxa" w:w="2493"/>
          </w:tcPr>
          <w:p>
            <w:r/>
            <w:r>
              <w:rPr>
                <w:b/>
                <w:i w:val="0"/>
                <w:sz w:val="19"/>
              </w:rPr>
              <w:t>What the question actually asked</w:t>
            </w:r>
          </w:p>
        </w:tc>
      </w:tr>
      <w:tr>
        <w:tc>
          <w:tcPr>
            <w:tcW w:type="dxa" w:w="2493"/>
          </w:tcPr>
          <w:p>
            <w:r/>
            <w:r>
              <w:rPr>
                <w:b w:val="0"/>
                <w:i w:val="0"/>
                <w:sz w:val="19"/>
              </w:rPr>
              <w:t>01</w:t>
            </w:r>
          </w:p>
        </w:tc>
        <w:tc>
          <w:tcPr>
            <w:tcW w:type="dxa" w:w="2493"/>
          </w:tcPr>
          <w:p>
            <w:r/>
            <w:r>
              <w:rPr>
                <w:b w:val="0"/>
                <w:i w:val="0"/>
                <w:sz w:val="19"/>
              </w:rPr>
              <w:t>2</w:t>
            </w:r>
          </w:p>
        </w:tc>
        <w:tc>
          <w:tcPr>
            <w:tcW w:type="dxa" w:w="2493"/>
          </w:tcPr>
          <w:p>
            <w:r/>
            <w:r>
              <w:rPr>
                <w:b w:val="0"/>
                <w:i w:val="0"/>
                <w:sz w:val="19"/>
              </w:rPr>
              <w:t>Calculate</w:t>
            </w:r>
          </w:p>
        </w:tc>
        <w:tc>
          <w:tcPr>
            <w:tcW w:type="dxa" w:w="2493"/>
          </w:tcPr>
          <w:p>
            <w:r/>
            <w:r>
              <w:rPr>
                <w:b w:val="0"/>
                <w:i w:val="0"/>
                <w:sz w:val="19"/>
              </w:rPr>
              <w:t>Calculate an index number from a table, answer to two decimal places</w:t>
            </w:r>
          </w:p>
        </w:tc>
      </w:tr>
      <w:tr>
        <w:tc>
          <w:tcPr>
            <w:tcW w:type="dxa" w:w="2493"/>
          </w:tcPr>
          <w:p>
            <w:r/>
            <w:r>
              <w:rPr>
                <w:b w:val="0"/>
                <w:i w:val="0"/>
                <w:sz w:val="19"/>
              </w:rPr>
              <w:t>02</w:t>
            </w:r>
          </w:p>
        </w:tc>
        <w:tc>
          <w:tcPr>
            <w:tcW w:type="dxa" w:w="2493"/>
          </w:tcPr>
          <w:p>
            <w:r/>
            <w:r>
              <w:rPr>
                <w:b w:val="0"/>
                <w:i w:val="0"/>
                <w:sz w:val="19"/>
              </w:rPr>
              <w:t>4</w:t>
            </w:r>
          </w:p>
        </w:tc>
        <w:tc>
          <w:tcPr>
            <w:tcW w:type="dxa" w:w="2493"/>
          </w:tcPr>
          <w:p>
            <w:r/>
            <w:r>
              <w:rPr>
                <w:b w:val="0"/>
                <w:i w:val="0"/>
                <w:sz w:val="19"/>
              </w:rPr>
              <w:t>Explain</w:t>
            </w:r>
          </w:p>
        </w:tc>
        <w:tc>
          <w:tcPr>
            <w:tcW w:type="dxa" w:w="2493"/>
          </w:tcPr>
          <w:p>
            <w:r/>
            <w:r>
              <w:rPr>
                <w:b w:val="0"/>
                <w:i w:val="0"/>
                <w:sz w:val="19"/>
              </w:rPr>
              <w:t>Explain how the data show a stated relationship</w:t>
            </w:r>
          </w:p>
        </w:tc>
      </w:tr>
      <w:tr>
        <w:tc>
          <w:tcPr>
            <w:tcW w:type="dxa" w:w="2493"/>
          </w:tcPr>
          <w:p>
            <w:r/>
            <w:r>
              <w:rPr>
                <w:b w:val="0"/>
                <w:i w:val="0"/>
                <w:sz w:val="19"/>
              </w:rPr>
              <w:t>03</w:t>
            </w:r>
          </w:p>
        </w:tc>
        <w:tc>
          <w:tcPr>
            <w:tcW w:type="dxa" w:w="2493"/>
          </w:tcPr>
          <w:p>
            <w:r/>
            <w:r>
              <w:rPr>
                <w:b w:val="0"/>
                <w:i w:val="0"/>
                <w:sz w:val="19"/>
              </w:rPr>
              <w:t>9</w:t>
            </w:r>
          </w:p>
        </w:tc>
        <w:tc>
          <w:tcPr>
            <w:tcW w:type="dxa" w:w="2493"/>
          </w:tcPr>
          <w:p>
            <w:r/>
            <w:r>
              <w:rPr>
                <w:b w:val="0"/>
                <w:i w:val="0"/>
                <w:sz w:val="19"/>
              </w:rPr>
              <w:t>Explain, with a diagram</w:t>
            </w:r>
          </w:p>
        </w:tc>
        <w:tc>
          <w:tcPr>
            <w:tcW w:type="dxa" w:w="2493"/>
          </w:tcPr>
          <w:p>
            <w:r/>
            <w:r>
              <w:rPr>
                <w:b w:val="0"/>
                <w:i w:val="0"/>
                <w:sz w:val="19"/>
              </w:rPr>
              <w:t>With the help of a diagram, explain why an activity might lead to market failure</w:t>
            </w:r>
          </w:p>
        </w:tc>
      </w:tr>
      <w:tr>
        <w:tc>
          <w:tcPr>
            <w:tcW w:type="dxa" w:w="2493"/>
          </w:tcPr>
          <w:p>
            <w:r/>
            <w:r>
              <w:rPr>
                <w:b w:val="0"/>
                <w:i w:val="0"/>
                <w:sz w:val="19"/>
              </w:rPr>
              <w:t>04</w:t>
            </w:r>
          </w:p>
        </w:tc>
        <w:tc>
          <w:tcPr>
            <w:tcW w:type="dxa" w:w="2493"/>
          </w:tcPr>
          <w:p>
            <w:r/>
            <w:r>
              <w:rPr>
                <w:b w:val="0"/>
                <w:i w:val="0"/>
                <w:sz w:val="19"/>
              </w:rPr>
              <w:t>25</w:t>
            </w:r>
          </w:p>
        </w:tc>
        <w:tc>
          <w:tcPr>
            <w:tcW w:type="dxa" w:w="2493"/>
          </w:tcPr>
          <w:p>
            <w:r/>
            <w:r>
              <w:rPr>
                <w:b w:val="0"/>
                <w:i w:val="0"/>
                <w:sz w:val="19"/>
              </w:rPr>
              <w:t>Evaluate</w:t>
            </w:r>
          </w:p>
        </w:tc>
        <w:tc>
          <w:tcPr>
            <w:tcW w:type="dxa" w:w="2493"/>
          </w:tcPr>
          <w:p>
            <w:r/>
            <w:r>
              <w:rPr>
                <w:b w:val="0"/>
                <w:i w:val="0"/>
                <w:sz w:val="19"/>
              </w:rPr>
              <w:t>Evaluate policies that could be used to achieve a stated outcome</w:t>
            </w:r>
          </w:p>
        </w:tc>
      </w:tr>
      <w:tr>
        <w:tc>
          <w:tcPr>
            <w:tcW w:type="dxa" w:w="2493"/>
          </w:tcPr>
          <w:p>
            <w:r/>
          </w:p>
        </w:tc>
        <w:tc>
          <w:tcPr>
            <w:tcW w:type="dxa" w:w="2493"/>
          </w:tcPr>
          <w:p>
            <w:r/>
            <w:r>
              <w:rPr>
                <w:b w:val="0"/>
                <w:i w:val="0"/>
                <w:sz w:val="19"/>
              </w:rPr>
              <w:t>40</w:t>
            </w:r>
          </w:p>
        </w:tc>
        <w:tc>
          <w:tcPr>
            <w:tcW w:type="dxa" w:w="2493"/>
          </w:tcPr>
          <w:p>
            <w:r/>
            <w:r>
              <w:rPr>
                <w:b w:val="0"/>
                <w:i w:val="0"/>
                <w:sz w:val="19"/>
              </w:rPr>
              <w:t>AQA prints "Total for this context: 40 marks" under the fourth question</w:t>
            </w:r>
          </w:p>
        </w:tc>
        <w:tc>
          <w:tcPr>
            <w:tcW w:type="dxa" w:w="2493"/>
          </w:tcPr>
          <w:p/>
        </w:tc>
      </w:tr>
    </w:tbl>
    <w:p/>
    <w:p>
      <w:pPr>
        <w:spacing w:before="160"/>
      </w:pPr>
      <w:r>
        <w:rPr>
          <w:b/>
          <w:i w:val="0"/>
          <w:sz w:val="23"/>
        </w:rPr>
        <w:t>Section B, essays. Students choose one essay from three, and each essay is worth 40 marks</w:t>
      </w:r>
    </w:p>
    <w:tbl>
      <w:tblPr>
        <w:tblStyle w:val="TableGrid"/>
        <w:tblW w:type="auto" w:w="0"/>
        <w:tblLook w:firstColumn="1" w:firstRow="1" w:lastColumn="0" w:lastRow="0" w:noHBand="0" w:noVBand="1" w:val="04A0"/>
      </w:tblPr>
      <w:tblGrid>
        <w:gridCol w:w="3324"/>
        <w:gridCol w:w="3324"/>
        <w:gridCol w:w="3324"/>
      </w:tblGrid>
      <w:tr>
        <w:tc>
          <w:tcPr>
            <w:tcW w:type="dxa" w:w="3324"/>
          </w:tcPr>
          <w:p>
            <w:r/>
            <w:r>
              <w:rPr>
                <w:b/>
                <w:i w:val="0"/>
                <w:sz w:val="19"/>
              </w:rPr>
              <w:t>Part</w:t>
            </w:r>
          </w:p>
        </w:tc>
        <w:tc>
          <w:tcPr>
            <w:tcW w:type="dxa" w:w="3324"/>
          </w:tcPr>
          <w:p>
            <w:r/>
            <w:r>
              <w:rPr>
                <w:b/>
                <w:i w:val="0"/>
                <w:sz w:val="19"/>
              </w:rPr>
              <w:t>Marks</w:t>
            </w:r>
          </w:p>
        </w:tc>
        <w:tc>
          <w:tcPr>
            <w:tcW w:type="dxa" w:w="3324"/>
          </w:tcPr>
          <w:p>
            <w:r/>
            <w:r>
              <w:rPr>
                <w:b/>
                <w:i w:val="0"/>
                <w:sz w:val="19"/>
              </w:rPr>
              <w:t>Command in June 2023</w:t>
            </w:r>
          </w:p>
        </w:tc>
      </w:tr>
      <w:tr>
        <w:tc>
          <w:tcPr>
            <w:tcW w:type="dxa" w:w="3324"/>
          </w:tcPr>
          <w:p>
            <w:r/>
            <w:r>
              <w:rPr>
                <w:b w:val="0"/>
                <w:i w:val="0"/>
                <w:sz w:val="19"/>
              </w:rPr>
              <w:t>first part</w:t>
            </w:r>
          </w:p>
        </w:tc>
        <w:tc>
          <w:tcPr>
            <w:tcW w:type="dxa" w:w="3324"/>
          </w:tcPr>
          <w:p>
            <w:r/>
            <w:r>
              <w:rPr>
                <w:b w:val="0"/>
                <w:i w:val="0"/>
                <w:sz w:val="19"/>
              </w:rPr>
              <w:t>15</w:t>
            </w:r>
          </w:p>
        </w:tc>
        <w:tc>
          <w:tcPr>
            <w:tcW w:type="dxa" w:w="3324"/>
          </w:tcPr>
          <w:p>
            <w:r/>
            <w:r>
              <w:rPr>
                <w:b w:val="0"/>
                <w:i w:val="0"/>
                <w:sz w:val="19"/>
              </w:rPr>
              <w:t>Explain, in all three essays</w:t>
            </w:r>
          </w:p>
        </w:tc>
      </w:tr>
      <w:tr>
        <w:tc>
          <w:tcPr>
            <w:tcW w:type="dxa" w:w="3324"/>
          </w:tcPr>
          <w:p>
            <w:r/>
            <w:r>
              <w:rPr>
                <w:b w:val="0"/>
                <w:i w:val="0"/>
                <w:sz w:val="19"/>
              </w:rPr>
              <w:t>second part</w:t>
            </w:r>
          </w:p>
        </w:tc>
        <w:tc>
          <w:tcPr>
            <w:tcW w:type="dxa" w:w="3324"/>
          </w:tcPr>
          <w:p>
            <w:r/>
            <w:r>
              <w:rPr>
                <w:b w:val="0"/>
                <w:i w:val="0"/>
                <w:sz w:val="19"/>
              </w:rPr>
              <w:t>25</w:t>
            </w:r>
          </w:p>
        </w:tc>
        <w:tc>
          <w:tcPr>
            <w:tcW w:type="dxa" w:w="3324"/>
          </w:tcPr>
          <w:p>
            <w:r/>
            <w:r>
              <w:rPr>
                <w:b w:val="0"/>
                <w:i w:val="0"/>
                <w:sz w:val="19"/>
              </w:rPr>
              <w:t>Assess in essay 1, Evaluate in essay 2, Discuss in essay 3</w:t>
            </w:r>
          </w:p>
        </w:tc>
      </w:tr>
      <w:tr>
        <w:tc>
          <w:tcPr>
            <w:tcW w:type="dxa" w:w="3324"/>
          </w:tcPr>
          <w:p>
            <w:r/>
          </w:p>
        </w:tc>
        <w:tc>
          <w:tcPr>
            <w:tcW w:type="dxa" w:w="3324"/>
          </w:tcPr>
          <w:p>
            <w:r/>
            <w:r>
              <w:rPr>
                <w:b w:val="0"/>
                <w:i w:val="0"/>
                <w:sz w:val="19"/>
              </w:rPr>
              <w:t>40</w:t>
            </w:r>
          </w:p>
        </w:tc>
        <w:tc>
          <w:tcPr>
            <w:tcW w:type="dxa" w:w="3324"/>
          </w:tcPr>
          <w:p>
            <w:r/>
            <w:r>
              <w:rPr>
                <w:b w:val="0"/>
                <w:i w:val="0"/>
                <w:sz w:val="19"/>
              </w:rPr>
              <w:t>AQA prints "Total for this essay: 40 marks"</w:t>
            </w:r>
          </w:p>
        </w:tc>
      </w:tr>
    </w:tbl>
    <w:p/>
    <w:p>
      <w:pPr>
        <w:spacing w:before="160"/>
      </w:pPr>
      <w:r>
        <w:rPr>
          <w:b/>
          <w:i w:val="0"/>
          <w:sz w:val="23"/>
        </w:rPr>
        <w:t>Read the two tables together</w:t>
      </w:r>
    </w:p>
    <w:p>
      <w:r>
        <w:rPr>
          <w:b w:val="0"/>
          <w:i w:val="0"/>
          <w:sz w:val="21"/>
        </w:rPr>
        <w:t xml:space="preserve">On this paper, </w:t>
      </w:r>
      <w:r>
        <w:rPr>
          <w:b/>
          <w:i w:val="0"/>
          <w:sz w:val="21"/>
        </w:rPr>
        <w:t>50 of the 80 marks</w:t>
      </w:r>
      <w:r>
        <w:rPr>
          <w:b w:val="0"/>
          <w:i w:val="0"/>
          <w:sz w:val="21"/>
        </w:rPr>
        <w:t xml:space="preserve"> sat on the two questions worth 25 each. A further 30 sat on everything else combined. A student who is fluent on the small questions and vague on the 25s is capping themselves well before the boundary. The two mark question was a calculation and the nine mark question required a diagram. Neither is optional and neither can be revised the night before.</w:t>
      </w:r>
    </w:p>
    <w:p>
      <w:r>
        <w:rPr>
          <w:b w:val="0"/>
          <w:i w:val="0"/>
          <w:sz w:val="21"/>
        </w:rPr>
        <w:t>One series is one series. AQA does not guarantee the same commands next year, and the 25 mark questions in June 2023 used three different words. What the specification fixes is the section structure and the 40 plus 40 split, on page 2.</w:t>
      </w:r>
    </w:p>
    <w:p>
      <w:pPr>
        <w:spacing w:before="160"/>
      </w:pPr>
      <w:r>
        <w:rPr>
          <w:b/>
          <w:i w:val="0"/>
          <w:sz w:val="23"/>
        </w:rPr>
        <w:t>What to do with this in the first half term Our view</w:t>
      </w:r>
    </w:p>
    <w:p>
      <w:pPr>
        <w:pStyle w:val="ListBullet"/>
      </w:pPr>
      <w:r>
        <w:rPr>
          <w:b/>
          <w:i w:val="0"/>
          <w:sz w:val="21"/>
        </w:rPr>
        <w:t>Set a 25 before October.</w:t>
      </w:r>
      <w:r>
        <w:rPr>
          <w:b w:val="0"/>
          <w:i w:val="0"/>
          <w:sz w:val="21"/>
        </w:rPr>
        <w:t xml:space="preserve"> If half the paper sits on one question type, waiting until spring to write one is a strange way to spend the autumn.</w:t>
      </w:r>
    </w:p>
    <w:p>
      <w:pPr>
        <w:pStyle w:val="ListBullet"/>
      </w:pPr>
      <w:r>
        <w:rPr>
          <w:b/>
          <w:i w:val="0"/>
          <w:sz w:val="21"/>
        </w:rPr>
        <w:t>Teach the diagram as part of the answer.</w:t>
      </w:r>
      <w:r>
        <w:rPr>
          <w:b w:val="0"/>
          <w:i w:val="0"/>
          <w:sz w:val="21"/>
        </w:rPr>
        <w:t xml:space="preserve"> The nine mark question asked for one in the stem, so an explanation without a diagram loses marks before the marker reaches the argument.</w:t>
      </w:r>
    </w:p>
    <w:p>
      <w:r>
        <w:t>______________________________________________________________</w:t>
      </w:r>
    </w:p>
    <w:p>
      <w:r>
        <w:rPr>
          <w:b/>
          <w:i w:val="0"/>
          <w:sz w:val="21"/>
        </w:rPr>
        <w:t>Where to look.</w:t>
      </w:r>
      <w:r>
        <w:rPr>
          <w:b w:val="0"/>
          <w:i w:val="0"/>
          <w:sz w:val="21"/>
        </w:rPr>
        <w:t xml:space="preserve"> AQA mark scheme, A-level Economics 7136/1, June 2023, on filestore.aqa.org.uk. The tariffs are printed in square brackets after each question stem.</w:t>
      </w:r>
    </w:p>
    <w:p>
      <w:r>
        <w:br w:type="page"/>
      </w:r>
    </w:p>
    <w:p>
      <w:pPr>
        <w:spacing w:before="200"/>
      </w:pPr>
      <w:r>
        <w:rPr>
          <w:b/>
          <w:i w:val="0"/>
          <w:color w:val="0B3D2E"/>
          <w:sz w:val="28"/>
        </w:rPr>
        <w:t>AQA's fifteen mark question rewards no evaluation</w:t>
      </w:r>
    </w:p>
    <w:p>
      <w:r>
        <w:rPr>
          <w:b w:val="0"/>
          <w:i w:val="0"/>
          <w:sz w:val="21"/>
        </w:rPr>
        <w:t>AQA publishes two levels of response grids, one for every 25 mark question and one for every 15 mark question. They are not the same grid at different lengths.</w:t>
      </w:r>
    </w:p>
    <w:p>
      <w:pPr>
        <w:spacing w:before="160"/>
      </w:pPr>
      <w:r>
        <w:rPr>
          <w:b/>
          <w:i w:val="0"/>
          <w:sz w:val="23"/>
        </w:rPr>
        <w:t>The 25 mark grid, level 5, 21 to 25 marks</w:t>
      </w:r>
    </w:p>
    <w:p>
      <w:pPr>
        <w:ind w:left="397"/>
      </w:pPr>
      <w:r>
        <w:rPr>
          <w:b w:val="0"/>
          <w:i w:val="0"/>
          <w:sz w:val="18"/>
        </w:rPr>
        <w:t>AQA mark scheme, 7136/1, June 2023. Five levels: 1 to 5, 6 to 10, 11 to 15, 16 to 20, 21 to 25.</w:t>
      </w:r>
    </w:p>
    <w:p>
      <w:pPr>
        <w:spacing w:before="160"/>
      </w:pPr>
      <w:r>
        <w:rPr>
          <w:b/>
          <w:i w:val="0"/>
          <w:sz w:val="23"/>
        </w:rPr>
        <w:t>The 15 mark grid, level 3, 11 to 15 marks</w:t>
      </w:r>
    </w:p>
    <w:p>
      <w:pPr>
        <w:ind w:left="397"/>
      </w:pPr>
      <w:r>
        <w:rPr>
          <w:b w:val="0"/>
          <w:i w:val="0"/>
          <w:sz w:val="18"/>
        </w:rPr>
        <w:t>AQA mark scheme, 7136/1, June 2023. Three levels: 1 to 5, 6 to 10, 11 to 15.</w:t>
      </w:r>
    </w:p>
    <w:p>
      <w:pPr>
        <w:spacing w:before="160"/>
      </w:pPr>
      <w:r>
        <w:rPr>
          <w:b/>
          <w:i w:val="0"/>
          <w:sz w:val="23"/>
        </w:rPr>
        <w:t>The sentence stops at analysis</w:t>
      </w:r>
    </w:p>
    <w:p>
      <w:r>
        <w:rPr>
          <w:b w:val="0"/>
          <w:i w:val="0"/>
          <w:sz w:val="21"/>
        </w:rPr>
        <w:t xml:space="preserve">The word evaluation does not appear anywhere in the 15 mark grid, at any of its three levels. A student who spends their last four minutes weighing up the argument on a 15 mark question is doing careful, intelligent work for zero marks, and the marker cannot give it to them. The other half of the same point: on the 25, evaluation is not a paragraph at the end. AQA asks for it </w:t>
      </w:r>
      <w:r>
        <w:rPr>
          <w:b/>
          <w:i w:val="0"/>
          <w:sz w:val="21"/>
        </w:rPr>
        <w:t>throughout the response and in a final conclusion</w:t>
      </w:r>
      <w:r>
        <w:rPr>
          <w:b w:val="0"/>
          <w:i w:val="0"/>
          <w:sz w:val="21"/>
        </w:rPr>
        <w:t>.</w:t>
      </w:r>
    </w:p>
    <w:p>
      <w:pPr>
        <w:spacing w:before="160"/>
      </w:pPr>
      <w:r>
        <w:rPr>
          <w:b/>
          <w:i w:val="0"/>
          <w:sz w:val="23"/>
        </w:rPr>
        <w:t>The band below, so the difference is visible</w:t>
      </w:r>
    </w:p>
    <w:p>
      <w:pPr>
        <w:ind w:left="397"/>
      </w:pPr>
      <w:r>
        <w:rPr>
          <w:b w:val="0"/>
          <w:i w:val="0"/>
          <w:sz w:val="18"/>
        </w:rPr>
        <w:t>AQA mark scheme, 7136/1, June 2023</w:t>
      </w:r>
    </w:p>
    <w:p>
      <w:r>
        <w:rPr>
          <w:b w:val="0"/>
          <w:i w:val="0"/>
          <w:sz w:val="21"/>
        </w:rPr>
        <w:t>Level 4 and level 5 use the same words for knowledge, application and analysis. The only thing that moves is evaluation: some reasonable, supported becomes throughout the response and in a final conclusion. That one line separates the 16 to 20 band from the 21 to 25 band.</w:t>
      </w:r>
    </w:p>
    <w:p>
      <w:r>
        <w:rPr>
          <w:b w:val="0"/>
          <w:i w:val="0"/>
          <w:sz w:val="21"/>
        </w:rPr>
        <w:t>Our view Teach the two as different tasks with different endings, from the first essay you set. Give students both grids on one side of A4. And when you mark a 25, count how many paragraphs carried evaluation, not whether the last one did.</w:t>
      </w:r>
    </w:p>
    <w:p>
      <w:r>
        <w:t>______________________________________________________________</w:t>
      </w:r>
    </w:p>
    <w:p>
      <w:r>
        <w:rPr>
          <w:b/>
          <w:i w:val="0"/>
          <w:sz w:val="21"/>
        </w:rPr>
        <w:t>Check this in two minutes.</w:t>
      </w:r>
      <w:r>
        <w:rPr>
          <w:b w:val="0"/>
          <w:i w:val="0"/>
          <w:sz w:val="21"/>
        </w:rPr>
        <w:t xml:space="preserve"> Open the 7136/1 June 2023 mark scheme. The 25 mark grid is printed at the start of Section A, the 15 mark grid at the start of Section B, each with a line telling you which questions it applies to.</w:t>
      </w:r>
    </w:p>
    <w:p>
      <w:r>
        <w:br w:type="page"/>
      </w:r>
    </w:p>
    <w:p>
      <w:pPr>
        <w:spacing w:before="200"/>
      </w:pPr>
      <w:r>
        <w:rPr>
          <w:b/>
          <w:i w:val="0"/>
          <w:color w:val="0B3D2E"/>
          <w:sz w:val="28"/>
        </w:rPr>
        <w:t>Edexcel's three extended response commands</w:t>
      </w:r>
    </w:p>
    <w:p>
      <w:r>
        <w:rPr>
          <w:b w:val="0"/>
          <w:i w:val="0"/>
          <w:sz w:val="21"/>
        </w:rPr>
        <w:t>Pearson prints a taxonomy table for 9EC0 giving what each command requires. This is that table, word for word. The differences between the three rows are small, deliberate and easy to miss, so they are picked out in bold.</w:t>
      </w:r>
    </w:p>
    <w:tbl>
      <w:tblPr>
        <w:tblStyle w:val="TableGrid"/>
        <w:tblW w:type="auto" w:w="0"/>
        <w:tblLook w:firstColumn="1" w:firstRow="1" w:lastColumn="0" w:lastRow="0" w:noHBand="0" w:noVBand="1" w:val="04A0"/>
      </w:tblPr>
      <w:tblGrid>
        <w:gridCol w:w="4986"/>
        <w:gridCol w:w="4986"/>
      </w:tblGrid>
      <w:tr>
        <w:tc>
          <w:tcPr>
            <w:tcW w:type="dxa" w:w="4986"/>
          </w:tcPr>
          <w:p>
            <w:r/>
            <w:r>
              <w:rPr>
                <w:b/>
                <w:i w:val="0"/>
                <w:sz w:val="19"/>
              </w:rPr>
              <w:t>Command</w:t>
            </w:r>
          </w:p>
        </w:tc>
        <w:tc>
          <w:tcPr>
            <w:tcW w:type="dxa" w:w="4986"/>
          </w:tcPr>
          <w:p>
            <w:r/>
            <w:r>
              <w:rPr>
                <w:b/>
                <w:i w:val="0"/>
                <w:sz w:val="19"/>
              </w:rPr>
              <w:t>What Pearson says it requires</w:t>
            </w:r>
          </w:p>
        </w:tc>
      </w:tr>
      <w:tr>
        <w:tc>
          <w:tcPr>
            <w:tcW w:type="dxa" w:w="4986"/>
          </w:tcPr>
          <w:p>
            <w:r/>
            <w:r>
              <w:rPr>
                <w:b/>
                <w:i w:val="0"/>
                <w:sz w:val="19"/>
              </w:rPr>
              <w:t>Assess</w:t>
            </w:r>
          </w:p>
        </w:tc>
        <w:tc>
          <w:tcPr>
            <w:tcW w:type="dxa" w:w="4986"/>
          </w:tcPr>
          <w:p>
            <w:r/>
            <w:r>
              <w:rPr>
                <w:b w:val="0"/>
                <w:i w:val="0"/>
                <w:sz w:val="19"/>
              </w:rPr>
              <w:t xml:space="preserve">Accurate knowledge and understanding; apply to context and/or use relevant examples; use of economic theory applied appropriately; and evaluation which is </w:t>
            </w:r>
            <w:r>
              <w:rPr>
                <w:b/>
                <w:i w:val="0"/>
                <w:sz w:val="19"/>
              </w:rPr>
              <w:t>supported by chains of reasoning, in context and balanced</w:t>
            </w:r>
            <w:r>
              <w:rPr>
                <w:b w:val="0"/>
                <w:i w:val="0"/>
                <w:sz w:val="19"/>
              </w:rPr>
              <w:t>.</w:t>
            </w:r>
          </w:p>
        </w:tc>
      </w:tr>
      <w:tr>
        <w:tc>
          <w:tcPr>
            <w:tcW w:type="dxa" w:w="4986"/>
          </w:tcPr>
          <w:p>
            <w:r/>
            <w:r>
              <w:rPr>
                <w:b/>
                <w:i w:val="0"/>
                <w:sz w:val="19"/>
              </w:rPr>
              <w:t>Discuss</w:t>
            </w:r>
          </w:p>
        </w:tc>
        <w:tc>
          <w:tcPr>
            <w:tcW w:type="dxa" w:w="4986"/>
          </w:tcPr>
          <w:p>
            <w:r/>
            <w:r>
              <w:rPr>
                <w:b w:val="0"/>
                <w:i w:val="0"/>
                <w:sz w:val="19"/>
              </w:rPr>
              <w:t xml:space="preserve">Accurate knowledge and understanding; apply to context and/or use relevant examples; use of economic theory applied appropriately; </w:t>
            </w:r>
            <w:r>
              <w:rPr>
                <w:b/>
                <w:i w:val="0"/>
                <w:sz w:val="19"/>
              </w:rPr>
              <w:t>logical chains of reasoning</w:t>
            </w:r>
            <w:r>
              <w:rPr>
                <w:b w:val="0"/>
                <w:i w:val="0"/>
                <w:sz w:val="19"/>
              </w:rPr>
              <w:t xml:space="preserve">; and evaluation which is </w:t>
            </w:r>
            <w:r>
              <w:rPr>
                <w:b/>
                <w:i w:val="0"/>
                <w:sz w:val="19"/>
              </w:rPr>
              <w:t>supported by relevant reasoning, in context and balanced</w:t>
            </w:r>
            <w:r>
              <w:rPr>
                <w:b w:val="0"/>
                <w:i w:val="0"/>
                <w:sz w:val="19"/>
              </w:rPr>
              <w:t>.</w:t>
            </w:r>
          </w:p>
        </w:tc>
      </w:tr>
      <w:tr>
        <w:tc>
          <w:tcPr>
            <w:tcW w:type="dxa" w:w="4986"/>
          </w:tcPr>
          <w:p>
            <w:r/>
            <w:r>
              <w:rPr>
                <w:b/>
                <w:i w:val="0"/>
                <w:sz w:val="19"/>
              </w:rPr>
              <w:t>To what extent</w:t>
            </w:r>
            <w:r>
              <w:rPr>
                <w:b w:val="0"/>
                <w:i w:val="0"/>
                <w:sz w:val="19"/>
              </w:rPr>
              <w:t xml:space="preserve"> / / </w:t>
            </w:r>
            <w:r>
              <w:rPr>
                <w:b/>
                <w:i w:val="0"/>
                <w:sz w:val="19"/>
              </w:rPr>
              <w:t>Evaluate</w:t>
            </w:r>
          </w:p>
        </w:tc>
        <w:tc>
          <w:tcPr>
            <w:tcW w:type="dxa" w:w="4986"/>
          </w:tcPr>
          <w:p>
            <w:r/>
            <w:r>
              <w:rPr>
                <w:b w:val="0"/>
                <w:i w:val="0"/>
                <w:sz w:val="19"/>
              </w:rPr>
              <w:t xml:space="preserve">Accurate knowledge and understanding; apply to context and/or use relevant examples; </w:t>
            </w:r>
            <w:r>
              <w:rPr>
                <w:b/>
                <w:i w:val="0"/>
                <w:sz w:val="19"/>
              </w:rPr>
              <w:t>evidence fully and reliably integrated</w:t>
            </w:r>
            <w:r>
              <w:rPr>
                <w:b w:val="0"/>
                <w:i w:val="0"/>
                <w:sz w:val="19"/>
              </w:rPr>
              <w:t xml:space="preserve">; use of economic theory applied appropriately; </w:t>
            </w:r>
            <w:r>
              <w:rPr>
                <w:b/>
                <w:i w:val="0"/>
                <w:sz w:val="19"/>
              </w:rPr>
              <w:t>logical and coherent</w:t>
            </w:r>
            <w:r>
              <w:rPr>
                <w:b w:val="0"/>
                <w:i w:val="0"/>
                <w:sz w:val="19"/>
              </w:rPr>
              <w:t xml:space="preserve"> chains of reasoning; and evaluation which is supported by chains of reasoning, in context, </w:t>
            </w:r>
            <w:r>
              <w:rPr>
                <w:b/>
                <w:i w:val="0"/>
                <w:sz w:val="19"/>
              </w:rPr>
              <w:t>with critical awareness and informed judgements</w:t>
            </w:r>
            <w:r>
              <w:rPr>
                <w:b w:val="0"/>
                <w:i w:val="0"/>
                <w:sz w:val="19"/>
              </w:rPr>
              <w:t>.</w:t>
            </w:r>
          </w:p>
        </w:tc>
      </w:tr>
    </w:tbl>
    <w:p/>
    <w:p>
      <w:r>
        <w:rPr>
          <w:b w:val="0"/>
          <w:i w:val="0"/>
          <w:sz w:val="21"/>
        </w:rPr>
        <w:t>Pearson groups To what extent and Evaluate as a single row. They are one command with two wordings, not two commands.</w:t>
      </w:r>
    </w:p>
    <w:p>
      <w:pPr>
        <w:spacing w:before="160"/>
      </w:pPr>
      <w:r>
        <w:rPr>
          <w:b/>
          <w:i w:val="0"/>
          <w:sz w:val="23"/>
        </w:rPr>
        <w:t>Two things this table does not say</w:t>
      </w:r>
    </w:p>
    <w:p>
      <w:r>
        <w:rPr>
          <w:b/>
          <w:i w:val="0"/>
          <w:sz w:val="21"/>
        </w:rPr>
        <w:t>It gives no mark tariffs.</w:t>
      </w:r>
      <w:r>
        <w:rPr>
          <w:b w:val="0"/>
          <w:i w:val="0"/>
          <w:sz w:val="21"/>
        </w:rPr>
        <w:t xml:space="preserve"> Nothing in the Getting Started guide attaches a number of marks to Assess or to Discuss. If you have seen a poster that says "Assess is 12 marks", that number came from somewhere else and you should find out where before a class learns it.</w:t>
      </w:r>
    </w:p>
    <w:p>
      <w:r>
        <w:rPr>
          <w:b/>
          <w:i w:val="0"/>
          <w:sz w:val="21"/>
        </w:rPr>
        <w:t>It is not a hierarchy.</w:t>
      </w:r>
      <w:r>
        <w:rPr>
          <w:b w:val="0"/>
          <w:i w:val="0"/>
          <w:sz w:val="21"/>
        </w:rPr>
        <w:t xml:space="preserve"> Pearson presents three commands with three requirement lists. It does not say that To what extent is harder than Assess. It does ask for more in that row, which is a fact about the wording, and the two are not the same statement.</w:t>
      </w:r>
    </w:p>
    <w:p>
      <w:pPr>
        <w:spacing w:before="160"/>
      </w:pPr>
      <w:r>
        <w:rPr>
          <w:b/>
          <w:i w:val="0"/>
          <w:sz w:val="23"/>
        </w:rPr>
        <w:t>The phrase both boards share</w:t>
      </w:r>
    </w:p>
    <w:p>
      <w:r>
        <w:rPr>
          <w:b w:val="0"/>
          <w:i w:val="0"/>
          <w:sz w:val="21"/>
        </w:rPr>
        <w:t>AQA's grids ask for "clear, logical chains of reasoning". Pearson's table asks for "logical chains of reasoning" and, at the top, "logical and coherent chains of reasoning". Whichever board you teach, the same sentence structure earns the marks: a cause, the mechanism that connects it to an effect, and the effect, with no step missing.</w:t>
      </w:r>
    </w:p>
    <w:p>
      <w:r>
        <w:rPr>
          <w:b w:val="0"/>
          <w:i w:val="0"/>
          <w:sz w:val="21"/>
        </w:rPr>
        <w:t>The step students skip is almost always the middle one. "Interest rates rise, so investment falls" has the cause and the effect and nothing between them. "Interest rates rise, so the cost of borrowing to fund a project rises, so fewer projects clear the firm's expected rate of return, so planned investment falls" is the same idea with the mechanism visible. That is what a chain of reasoning is.</w:t>
      </w:r>
    </w:p>
    <w:p>
      <w:r>
        <w:t>______________________________________________________________</w:t>
      </w:r>
    </w:p>
    <w:p>
      <w:r>
        <w:rPr>
          <w:b/>
          <w:i w:val="0"/>
          <w:sz w:val="21"/>
        </w:rPr>
        <w:t>Where to look.</w:t>
      </w:r>
      <w:r>
        <w:rPr>
          <w:b w:val="0"/>
          <w:i w:val="0"/>
          <w:sz w:val="21"/>
        </w:rPr>
        <w:t xml:space="preserve"> Pearson, Getting Started guide for GCE Economics A 2015, section 5.5, Taxonomy (command words). Section 5.4 covers the question types and section 5.6 the mark schemes.</w:t>
      </w:r>
    </w:p>
    <w:p>
      <w:r>
        <w:br w:type="page"/>
      </w:r>
    </w:p>
    <w:p>
      <w:pPr>
        <w:spacing w:before="200"/>
      </w:pPr>
      <w:r>
        <w:rPr>
          <w:b/>
          <w:i w:val="0"/>
          <w:color w:val="0B3D2E"/>
          <w:sz w:val="28"/>
        </w:rPr>
        <w:t>Edexcel marks a 25 on two separate grids</w:t>
      </w:r>
    </w:p>
    <w:p>
      <w:r>
        <w:rPr>
          <w:b w:val="0"/>
          <w:i w:val="0"/>
          <w:sz w:val="21"/>
        </w:rPr>
        <w:t>This is the Edexcel counterpart to page 4, and it is a bigger difference than most comparisons admit. AQA marks a 25 mark answer against one holistic grid. Pearson splits it into two pots with two grids, and prints the split above every question.</w:t>
      </w:r>
    </w:p>
    <w:p>
      <w:pPr>
        <w:spacing w:before="160"/>
      </w:pPr>
      <w:r>
        <w:rPr>
          <w:b/>
          <w:i w:val="0"/>
          <w:sz w:val="23"/>
        </w:rPr>
        <w:t>Knowledge, application and analysis</w:t>
      </w:r>
    </w:p>
    <w:tbl>
      <w:tblPr>
        <w:tblStyle w:val="TableGrid"/>
        <w:tblW w:type="auto" w:w="0"/>
        <w:tblLook w:firstColumn="1" w:firstRow="1" w:lastColumn="0" w:lastRow="0" w:noHBand="0" w:noVBand="1" w:val="04A0"/>
      </w:tblPr>
      <w:tblGrid>
        <w:gridCol w:w="4986"/>
        <w:gridCol w:w="4986"/>
      </w:tblGrid>
      <w:tr>
        <w:tc>
          <w:tcPr>
            <w:tcW w:type="dxa" w:w="4986"/>
          </w:tcPr>
          <w:p>
            <w:r/>
            <w:r>
              <w:rPr>
                <w:b/>
                <w:i w:val="0"/>
                <w:sz w:val="19"/>
              </w:rPr>
              <w:t>Level</w:t>
            </w:r>
          </w:p>
        </w:tc>
        <w:tc>
          <w:tcPr>
            <w:tcW w:type="dxa" w:w="4986"/>
          </w:tcPr>
          <w:p>
            <w:r/>
            <w:r>
              <w:rPr>
                <w:b/>
                <w:i w:val="0"/>
                <w:sz w:val="19"/>
              </w:rPr>
              <w:t>Mark</w:t>
            </w:r>
          </w:p>
        </w:tc>
      </w:tr>
      <w:tr>
        <w:tc>
          <w:tcPr>
            <w:tcW w:type="dxa" w:w="4986"/>
          </w:tcPr>
          <w:p>
            <w:r/>
            <w:r>
              <w:rPr>
                <w:b w:val="0"/>
                <w:i w:val="0"/>
                <w:sz w:val="19"/>
              </w:rPr>
              <w:t>0</w:t>
            </w:r>
          </w:p>
        </w:tc>
        <w:tc>
          <w:tcPr>
            <w:tcW w:type="dxa" w:w="4986"/>
          </w:tcPr>
          <w:p>
            <w:r/>
            <w:r>
              <w:rPr>
                <w:b w:val="0"/>
                <w:i w:val="0"/>
                <w:sz w:val="19"/>
              </w:rPr>
              <w:t>A completely inaccurate response</w:t>
            </w:r>
          </w:p>
        </w:tc>
      </w:tr>
      <w:tr>
        <w:tc>
          <w:tcPr>
            <w:tcW w:type="dxa" w:w="4986"/>
          </w:tcPr>
          <w:p>
            <w:r/>
            <w:r>
              <w:rPr>
                <w:b w:val="0"/>
                <w:i w:val="0"/>
                <w:sz w:val="19"/>
              </w:rPr>
              <w:t>1</w:t>
            </w:r>
          </w:p>
        </w:tc>
        <w:tc>
          <w:tcPr>
            <w:tcW w:type="dxa" w:w="4986"/>
          </w:tcPr>
          <w:p>
            <w:r/>
            <w:r>
              <w:rPr>
                <w:b w:val="0"/>
                <w:i w:val="0"/>
                <w:sz w:val="19"/>
              </w:rPr>
              <w:t>1 to 4</w:t>
            </w:r>
          </w:p>
        </w:tc>
      </w:tr>
      <w:tr>
        <w:tc>
          <w:tcPr>
            <w:tcW w:type="dxa" w:w="4986"/>
          </w:tcPr>
          <w:p>
            <w:r/>
            <w:r>
              <w:rPr>
                <w:b w:val="0"/>
                <w:i w:val="0"/>
                <w:sz w:val="19"/>
              </w:rPr>
              <w:t>2</w:t>
            </w:r>
          </w:p>
        </w:tc>
        <w:tc>
          <w:tcPr>
            <w:tcW w:type="dxa" w:w="4986"/>
          </w:tcPr>
          <w:p>
            <w:r/>
            <w:r>
              <w:rPr>
                <w:b w:val="0"/>
                <w:i w:val="0"/>
                <w:sz w:val="19"/>
              </w:rPr>
              <w:t>5 to 8</w:t>
            </w:r>
          </w:p>
        </w:tc>
      </w:tr>
      <w:tr>
        <w:tc>
          <w:tcPr>
            <w:tcW w:type="dxa" w:w="4986"/>
          </w:tcPr>
          <w:p>
            <w:r/>
            <w:r>
              <w:rPr>
                <w:b w:val="0"/>
                <w:i w:val="0"/>
                <w:sz w:val="19"/>
              </w:rPr>
              <w:t>3</w:t>
            </w:r>
          </w:p>
        </w:tc>
        <w:tc>
          <w:tcPr>
            <w:tcW w:type="dxa" w:w="4986"/>
          </w:tcPr>
          <w:p>
            <w:r/>
            <w:r>
              <w:rPr>
                <w:b w:val="0"/>
                <w:i w:val="0"/>
                <w:sz w:val="19"/>
              </w:rPr>
              <w:t>9 to 12</w:t>
            </w:r>
          </w:p>
        </w:tc>
      </w:tr>
      <w:tr>
        <w:tc>
          <w:tcPr>
            <w:tcW w:type="dxa" w:w="4986"/>
          </w:tcPr>
          <w:p>
            <w:r/>
            <w:r>
              <w:rPr>
                <w:b w:val="0"/>
                <w:i w:val="0"/>
                <w:sz w:val="19"/>
              </w:rPr>
              <w:t>4</w:t>
            </w:r>
          </w:p>
        </w:tc>
        <w:tc>
          <w:tcPr>
            <w:tcW w:type="dxa" w:w="4986"/>
          </w:tcPr>
          <w:p>
            <w:r/>
            <w:r>
              <w:rPr>
                <w:b w:val="0"/>
                <w:i w:val="0"/>
                <w:sz w:val="19"/>
              </w:rPr>
              <w:t>13 to 16</w:t>
            </w:r>
          </w:p>
        </w:tc>
      </w:tr>
    </w:tbl>
    <w:p/>
    <w:p>
      <w:pPr>
        <w:spacing w:before="160"/>
      </w:pPr>
      <w:r>
        <w:rPr>
          <w:b/>
          <w:i w:val="0"/>
          <w:sz w:val="23"/>
        </w:rPr>
        <w:t>Evaluation</w:t>
      </w:r>
    </w:p>
    <w:tbl>
      <w:tblPr>
        <w:tblStyle w:val="TableGrid"/>
        <w:tblW w:type="auto" w:w="0"/>
        <w:tblLook w:firstColumn="1" w:firstRow="1" w:lastColumn="0" w:lastRow="0" w:noHBand="0" w:noVBand="1" w:val="04A0"/>
      </w:tblPr>
      <w:tblGrid>
        <w:gridCol w:w="4986"/>
        <w:gridCol w:w="4986"/>
      </w:tblGrid>
      <w:tr>
        <w:tc>
          <w:tcPr>
            <w:tcW w:type="dxa" w:w="4986"/>
          </w:tcPr>
          <w:p>
            <w:r/>
            <w:r>
              <w:rPr>
                <w:b/>
                <w:i w:val="0"/>
                <w:sz w:val="19"/>
              </w:rPr>
              <w:t>Level</w:t>
            </w:r>
          </w:p>
        </w:tc>
        <w:tc>
          <w:tcPr>
            <w:tcW w:type="dxa" w:w="4986"/>
          </w:tcPr>
          <w:p>
            <w:r/>
            <w:r>
              <w:rPr>
                <w:b/>
                <w:i w:val="0"/>
                <w:sz w:val="19"/>
              </w:rPr>
              <w:t>Mark</w:t>
            </w:r>
          </w:p>
        </w:tc>
      </w:tr>
      <w:tr>
        <w:tc>
          <w:tcPr>
            <w:tcW w:type="dxa" w:w="4986"/>
          </w:tcPr>
          <w:p>
            <w:r/>
            <w:r>
              <w:rPr>
                <w:b w:val="0"/>
                <w:i w:val="0"/>
                <w:sz w:val="19"/>
              </w:rPr>
              <w:t>0</w:t>
            </w:r>
          </w:p>
        </w:tc>
        <w:tc>
          <w:tcPr>
            <w:tcW w:type="dxa" w:w="4986"/>
          </w:tcPr>
          <w:p>
            <w:r/>
            <w:r>
              <w:rPr>
                <w:b w:val="0"/>
                <w:i w:val="0"/>
                <w:sz w:val="19"/>
              </w:rPr>
              <w:t>No evaluative comments</w:t>
            </w:r>
          </w:p>
        </w:tc>
      </w:tr>
      <w:tr>
        <w:tc>
          <w:tcPr>
            <w:tcW w:type="dxa" w:w="4986"/>
          </w:tcPr>
          <w:p>
            <w:r/>
            <w:r>
              <w:rPr>
                <w:b w:val="0"/>
                <w:i w:val="0"/>
                <w:sz w:val="19"/>
              </w:rPr>
              <w:t>1</w:t>
            </w:r>
          </w:p>
        </w:tc>
        <w:tc>
          <w:tcPr>
            <w:tcW w:type="dxa" w:w="4986"/>
          </w:tcPr>
          <w:p>
            <w:r/>
            <w:r>
              <w:rPr>
                <w:b w:val="0"/>
                <w:i w:val="0"/>
                <w:sz w:val="19"/>
              </w:rPr>
              <w:t>1 to 3</w:t>
            </w:r>
          </w:p>
        </w:tc>
      </w:tr>
      <w:tr>
        <w:tc>
          <w:tcPr>
            <w:tcW w:type="dxa" w:w="4986"/>
          </w:tcPr>
          <w:p>
            <w:r/>
            <w:r>
              <w:rPr>
                <w:b w:val="0"/>
                <w:i w:val="0"/>
                <w:sz w:val="19"/>
              </w:rPr>
              <w:t>2</w:t>
            </w:r>
          </w:p>
        </w:tc>
        <w:tc>
          <w:tcPr>
            <w:tcW w:type="dxa" w:w="4986"/>
          </w:tcPr>
          <w:p>
            <w:r/>
            <w:r>
              <w:rPr>
                <w:b w:val="0"/>
                <w:i w:val="0"/>
                <w:sz w:val="19"/>
              </w:rPr>
              <w:t>4 to 6</w:t>
            </w:r>
          </w:p>
        </w:tc>
      </w:tr>
      <w:tr>
        <w:tc>
          <w:tcPr>
            <w:tcW w:type="dxa" w:w="4986"/>
          </w:tcPr>
          <w:p>
            <w:r/>
            <w:r>
              <w:rPr>
                <w:b w:val="0"/>
                <w:i w:val="0"/>
                <w:sz w:val="19"/>
              </w:rPr>
              <w:t>3</w:t>
            </w:r>
          </w:p>
        </w:tc>
        <w:tc>
          <w:tcPr>
            <w:tcW w:type="dxa" w:w="4986"/>
          </w:tcPr>
          <w:p>
            <w:r/>
            <w:r>
              <w:rPr>
                <w:b w:val="0"/>
                <w:i w:val="0"/>
                <w:sz w:val="19"/>
              </w:rPr>
              <w:t>7 to 9</w:t>
            </w:r>
          </w:p>
        </w:tc>
      </w:tr>
    </w:tbl>
    <w:p/>
    <w:p>
      <w:r>
        <w:rPr>
          <w:b w:val="0"/>
          <w:i w:val="0"/>
          <w:sz w:val="21"/>
        </w:rPr>
        <w:t>Sixteen plus nine is the twenty five.</w:t>
      </w:r>
    </w:p>
    <w:p>
      <w:pPr>
        <w:spacing w:before="160"/>
      </w:pPr>
      <w:r>
        <w:rPr>
          <w:b/>
          <w:i w:val="0"/>
          <w:sz w:val="23"/>
        </w:rPr>
        <w:t>What that does to a student</w:t>
      </w:r>
    </w:p>
    <w:p>
      <w:r>
        <w:rPr>
          <w:b w:val="0"/>
          <w:i w:val="0"/>
          <w:sz w:val="21"/>
        </w:rPr>
        <w:t xml:space="preserve">Evaluation is capped at </w:t>
      </w:r>
      <w:r>
        <w:rPr>
          <w:b/>
          <w:i w:val="0"/>
          <w:sz w:val="21"/>
        </w:rPr>
        <w:t>9 marks</w:t>
      </w:r>
      <w:r>
        <w:rPr>
          <w:b w:val="0"/>
          <w:i w:val="0"/>
          <w:sz w:val="21"/>
        </w:rPr>
        <w:t xml:space="preserve"> however good it is, and knowledge, application and analysis are capped at 16. A student who writes superb analysis and no evaluation cannot pass 16 out of 25, whatever else they do. A student who evaluates beautifully off thin analysis is capped just as hard the other way.</w:t>
      </w:r>
    </w:p>
    <w:p>
      <w:r>
        <w:rPr>
          <w:b w:val="0"/>
          <w:i w:val="0"/>
          <w:sz w:val="21"/>
        </w:rPr>
        <w:t>Compare that with AQA on page 4, where one grid covers everything and a weak strand drags the whole level down instead of capping a pot. Same subject, same 25 marks, two different ways to lose them.</w:t>
      </w:r>
    </w:p>
    <w:p>
      <w:pPr>
        <w:spacing w:before="160"/>
      </w:pPr>
      <w:r>
        <w:rPr>
          <w:b/>
          <w:i w:val="0"/>
          <w:sz w:val="23"/>
        </w:rPr>
        <w:t>Two things printed in the mark scheme that students never see</w:t>
      </w:r>
    </w:p>
    <w:p>
      <w:pPr>
        <w:pStyle w:val="ListBullet"/>
      </w:pPr>
      <w:r>
        <w:rPr>
          <w:b/>
          <w:i w:val="0"/>
          <w:sz w:val="21"/>
        </w:rPr>
        <w:t>The split is on the question.</w:t>
      </w:r>
      <w:r>
        <w:rPr>
          <w:b w:val="0"/>
          <w:i w:val="0"/>
          <w:sz w:val="21"/>
        </w:rPr>
        <w:t xml:space="preserve"> Pearson prints "Knowledge 4, Application 4, Analysis 8" and "Evaluation 9" above the indicative content for every extended question. Your students can be told exactly what each part is worth.</w:t>
      </w:r>
    </w:p>
    <w:p>
      <w:pPr>
        <w:pStyle w:val="ListBullet"/>
      </w:pPr>
      <w:r>
        <w:rPr>
          <w:b/>
          <w:i w:val="0"/>
          <w:sz w:val="21"/>
        </w:rPr>
        <w:t>Context is a hard gate at the top level.</w:t>
      </w:r>
      <w:r>
        <w:rPr>
          <w:b w:val="0"/>
          <w:i w:val="0"/>
          <w:sz w:val="21"/>
        </w:rPr>
        <w:t xml:space="preserve"> The June 2023 paper carries the note "for Level 4 KAA candidates must refer to the energy market", and on the other option "candidates must refer to the transport market". Generic economics, however good, does not reach Level 4.</w:t>
      </w:r>
    </w:p>
    <w:p>
      <w:r>
        <w:rPr>
          <w:b w:val="0"/>
          <w:i w:val="0"/>
          <w:sz w:val="21"/>
        </w:rPr>
        <w:t>Read off Pearson's published mark scheme for 9EC0 Paper 01, Summer 2023, questions 7 and 8. Both 25 mark questions carry the same two grids and the same split.</w:t>
      </w:r>
    </w:p>
    <w:p>
      <w:r>
        <w:t>______________________________________________________________</w:t>
      </w:r>
    </w:p>
    <w:p>
      <w:r>
        <w:rPr>
          <w:b/>
          <w:i w:val="0"/>
          <w:sz w:val="21"/>
        </w:rPr>
        <w:t>Check this in two minutes.</w:t>
      </w:r>
      <w:r>
        <w:rPr>
          <w:b w:val="0"/>
          <w:i w:val="0"/>
          <w:sz w:val="21"/>
        </w:rPr>
        <w:t xml:space="preserve"> Open the 9EC0/01 Summer 2023 mark scheme on qualifications.pearson.com. The question shows the split, and the two grids are printed on the page after it.</w:t>
      </w:r>
    </w:p>
    <w:p>
      <w:r>
        <w:br w:type="page"/>
      </w:r>
    </w:p>
    <w:p>
      <w:pPr>
        <w:spacing w:before="200"/>
      </w:pPr>
      <w:r>
        <w:rPr>
          <w:b/>
          <w:i w:val="0"/>
          <w:color w:val="0B3D2E"/>
          <w:sz w:val="28"/>
        </w:rPr>
        <w:t>A fifth of the A-level is arithmetic, on both boards</w:t>
      </w:r>
    </w:p>
    <w:p>
      <w:pPr>
        <w:ind w:left="397"/>
      </w:pPr>
      <w:r>
        <w:rPr>
          <w:b w:val="0"/>
          <w:i w:val="0"/>
          <w:sz w:val="18"/>
        </w:rPr>
        <w:t>AQA 7135 and 7136 specification, annex 7.2</w:t>
      </w:r>
    </w:p>
    <w:p>
      <w:pPr>
        <w:ind w:left="397"/>
      </w:pPr>
      <w:r>
        <w:rPr>
          <w:b w:val="0"/>
          <w:i w:val="0"/>
          <w:sz w:val="18"/>
        </w:rPr>
        <w:t>Pearson, Getting Started guide, section 6.1</w:t>
      </w:r>
    </w:p>
    <w:p>
      <w:r>
        <w:rPr>
          <w:b w:val="0"/>
          <w:i w:val="0"/>
          <w:sz w:val="21"/>
        </w:rPr>
        <w:t>Two boards, two documents, the same floor. On AQA that is at least 48 of the 240 marks. On Edexcel, at least 60 of the 300. It is not a strand you can leave to the maths department and it is not concentrated in one paper.</w:t>
      </w:r>
    </w:p>
    <w:p>
      <w:pPr>
        <w:spacing w:before="200"/>
      </w:pPr>
      <w:r>
        <w:rPr>
          <w:b/>
          <w:i w:val="0"/>
          <w:color w:val="0B3D2E"/>
          <w:sz w:val="28"/>
        </w:rPr>
        <w:t>AQA's nine quantitative skills, word for word</w:t>
      </w:r>
    </w:p>
    <w:tbl>
      <w:tblPr>
        <w:tblStyle w:val="TableGrid"/>
        <w:tblW w:type="auto" w:w="0"/>
        <w:tblLook w:firstColumn="1" w:firstRow="1" w:lastColumn="0" w:lastRow="0" w:noHBand="0" w:noVBand="1" w:val="04A0"/>
      </w:tblPr>
      <w:tblGrid>
        <w:gridCol w:w="4986"/>
        <w:gridCol w:w="4986"/>
      </w:tblGrid>
      <w:tr>
        <w:tc>
          <w:tcPr>
            <w:tcW w:type="dxa" w:w="4986"/>
          </w:tcPr>
          <w:p>
            <w:r/>
            <w:r>
              <w:rPr>
                <w:b/>
                <w:i w:val="0"/>
                <w:sz w:val="19"/>
              </w:rPr>
              <w:t>#</w:t>
            </w:r>
          </w:p>
        </w:tc>
        <w:tc>
          <w:tcPr>
            <w:tcW w:type="dxa" w:w="4986"/>
          </w:tcPr>
          <w:p>
            <w:r/>
            <w:r>
              <w:rPr>
                <w:b/>
                <w:i w:val="0"/>
                <w:sz w:val="19"/>
              </w:rPr>
              <w:t>Skill</w:t>
            </w:r>
          </w:p>
        </w:tc>
      </w:tr>
      <w:tr>
        <w:tc>
          <w:tcPr>
            <w:tcW w:type="dxa" w:w="4986"/>
          </w:tcPr>
          <w:p>
            <w:r/>
            <w:r>
              <w:rPr>
                <w:b w:val="0"/>
                <w:i w:val="0"/>
                <w:sz w:val="19"/>
              </w:rPr>
              <w:t>1</w:t>
            </w:r>
          </w:p>
        </w:tc>
        <w:tc>
          <w:tcPr>
            <w:tcW w:type="dxa" w:w="4986"/>
          </w:tcPr>
          <w:p>
            <w:r/>
            <w:r>
              <w:rPr>
                <w:b w:val="0"/>
                <w:i w:val="0"/>
                <w:sz w:val="19"/>
              </w:rPr>
              <w:t>calculate, use and understand ratios and fractions</w:t>
            </w:r>
          </w:p>
        </w:tc>
      </w:tr>
      <w:tr>
        <w:tc>
          <w:tcPr>
            <w:tcW w:type="dxa" w:w="4986"/>
          </w:tcPr>
          <w:p>
            <w:r/>
            <w:r>
              <w:rPr>
                <w:b w:val="0"/>
                <w:i w:val="0"/>
                <w:sz w:val="19"/>
              </w:rPr>
              <w:t>2</w:t>
            </w:r>
          </w:p>
        </w:tc>
        <w:tc>
          <w:tcPr>
            <w:tcW w:type="dxa" w:w="4986"/>
          </w:tcPr>
          <w:p>
            <w:r/>
            <w:r>
              <w:rPr>
                <w:b w:val="0"/>
                <w:i w:val="0"/>
                <w:sz w:val="19"/>
              </w:rPr>
              <w:t>calculate, use and understand percentages and percentage changes</w:t>
            </w:r>
          </w:p>
        </w:tc>
      </w:tr>
      <w:tr>
        <w:tc>
          <w:tcPr>
            <w:tcW w:type="dxa" w:w="4986"/>
          </w:tcPr>
          <w:p>
            <w:r/>
            <w:r>
              <w:rPr>
                <w:b w:val="0"/>
                <w:i w:val="0"/>
                <w:sz w:val="19"/>
              </w:rPr>
              <w:t>3</w:t>
            </w:r>
          </w:p>
        </w:tc>
        <w:tc>
          <w:tcPr>
            <w:tcW w:type="dxa" w:w="4986"/>
          </w:tcPr>
          <w:p>
            <w:r/>
            <w:r>
              <w:rPr>
                <w:b w:val="0"/>
                <w:i w:val="0"/>
                <w:sz w:val="19"/>
              </w:rPr>
              <w:t>understand and use the terms mean, median and relevant quantiles</w:t>
            </w:r>
          </w:p>
        </w:tc>
      </w:tr>
      <w:tr>
        <w:tc>
          <w:tcPr>
            <w:tcW w:type="dxa" w:w="4986"/>
          </w:tcPr>
          <w:p>
            <w:r/>
            <w:r>
              <w:rPr>
                <w:b w:val="0"/>
                <w:i w:val="0"/>
                <w:sz w:val="19"/>
              </w:rPr>
              <w:t>4</w:t>
            </w:r>
          </w:p>
        </w:tc>
        <w:tc>
          <w:tcPr>
            <w:tcW w:type="dxa" w:w="4986"/>
          </w:tcPr>
          <w:p>
            <w:r/>
            <w:r>
              <w:rPr>
                <w:b w:val="0"/>
                <w:i w:val="0"/>
                <w:sz w:val="19"/>
              </w:rPr>
              <w:t>construct and interpret a range of standard graphical forms</w:t>
            </w:r>
          </w:p>
        </w:tc>
      </w:tr>
      <w:tr>
        <w:tc>
          <w:tcPr>
            <w:tcW w:type="dxa" w:w="4986"/>
          </w:tcPr>
          <w:p>
            <w:r/>
            <w:r>
              <w:rPr>
                <w:b w:val="0"/>
                <w:i w:val="0"/>
                <w:sz w:val="19"/>
              </w:rPr>
              <w:t>5</w:t>
            </w:r>
          </w:p>
        </w:tc>
        <w:tc>
          <w:tcPr>
            <w:tcW w:type="dxa" w:w="4986"/>
          </w:tcPr>
          <w:p>
            <w:r/>
            <w:r>
              <w:rPr>
                <w:b w:val="0"/>
                <w:i w:val="0"/>
                <w:sz w:val="19"/>
              </w:rPr>
              <w:t>calculate and interpret index numbers</w:t>
            </w:r>
          </w:p>
        </w:tc>
      </w:tr>
      <w:tr>
        <w:tc>
          <w:tcPr>
            <w:tcW w:type="dxa" w:w="4986"/>
          </w:tcPr>
          <w:p>
            <w:r/>
            <w:r>
              <w:rPr>
                <w:b w:val="0"/>
                <w:i w:val="0"/>
                <w:sz w:val="19"/>
              </w:rPr>
              <w:t>6</w:t>
            </w:r>
          </w:p>
        </w:tc>
        <w:tc>
          <w:tcPr>
            <w:tcW w:type="dxa" w:w="4986"/>
          </w:tcPr>
          <w:p>
            <w:r/>
            <w:r>
              <w:rPr>
                <w:b w:val="0"/>
                <w:i w:val="0"/>
                <w:sz w:val="19"/>
              </w:rPr>
              <w:t>calculate cost, revenue and profit (marginal, average, totals)</w:t>
            </w:r>
          </w:p>
        </w:tc>
      </w:tr>
      <w:tr>
        <w:tc>
          <w:tcPr>
            <w:tcW w:type="dxa" w:w="4986"/>
          </w:tcPr>
          <w:p>
            <w:r/>
            <w:r>
              <w:rPr>
                <w:b w:val="0"/>
                <w:i w:val="0"/>
                <w:sz w:val="19"/>
              </w:rPr>
              <w:t>7</w:t>
            </w:r>
          </w:p>
        </w:tc>
        <w:tc>
          <w:tcPr>
            <w:tcW w:type="dxa" w:w="4986"/>
          </w:tcPr>
          <w:p>
            <w:r/>
            <w:r>
              <w:rPr>
                <w:b w:val="0"/>
                <w:i w:val="0"/>
                <w:sz w:val="19"/>
              </w:rPr>
              <w:t>make calculations to convert from money to real terms</w:t>
            </w:r>
          </w:p>
        </w:tc>
      </w:tr>
      <w:tr>
        <w:tc>
          <w:tcPr>
            <w:tcW w:type="dxa" w:w="4986"/>
          </w:tcPr>
          <w:p>
            <w:r/>
            <w:r>
              <w:rPr>
                <w:b w:val="0"/>
                <w:i w:val="0"/>
                <w:sz w:val="19"/>
              </w:rPr>
              <w:t>8</w:t>
            </w:r>
          </w:p>
        </w:tc>
        <w:tc>
          <w:tcPr>
            <w:tcW w:type="dxa" w:w="4986"/>
          </w:tcPr>
          <w:p>
            <w:r/>
            <w:r>
              <w:rPr>
                <w:b w:val="0"/>
                <w:i w:val="0"/>
                <w:sz w:val="19"/>
              </w:rPr>
              <w:t>make calculations of elasticity and interpret the result</w:t>
            </w:r>
          </w:p>
        </w:tc>
      </w:tr>
      <w:tr>
        <w:tc>
          <w:tcPr>
            <w:tcW w:type="dxa" w:w="4986"/>
          </w:tcPr>
          <w:p>
            <w:r/>
            <w:r>
              <w:rPr>
                <w:b w:val="0"/>
                <w:i w:val="0"/>
                <w:sz w:val="19"/>
              </w:rPr>
              <w:t>9</w:t>
            </w:r>
          </w:p>
        </w:tc>
        <w:tc>
          <w:tcPr>
            <w:tcW w:type="dxa" w:w="4986"/>
          </w:tcPr>
          <w:p>
            <w:r/>
            <w:r>
              <w:rPr>
                <w:b w:val="0"/>
                <w:i w:val="0"/>
                <w:sz w:val="19"/>
              </w:rPr>
              <w:t>interpret, apply and analyse information in written, graphical and numerical forms</w:t>
            </w:r>
          </w:p>
        </w:tc>
      </w:tr>
    </w:tbl>
    <w:p/>
    <w:p>
      <w:r>
        <w:rPr>
          <w:b w:val="0"/>
          <w:i w:val="0"/>
          <w:sz w:val="21"/>
        </w:rPr>
        <w:t>The AS list is the same nine with two differences: it says mean and median without quantiles, and average and total cost without marginal. The AS minimum is 15%, not 20%.</w:t>
      </w:r>
    </w:p>
    <w:p>
      <w:pPr>
        <w:spacing w:before="160"/>
      </w:pPr>
      <w:r>
        <w:rPr>
          <w:b/>
          <w:i w:val="0"/>
          <w:sz w:val="23"/>
        </w:rPr>
        <w:t>Read skill 9 again</w:t>
      </w:r>
    </w:p>
    <w:p>
      <w:r>
        <w:rPr>
          <w:b w:val="0"/>
          <w:i w:val="0"/>
          <w:sz w:val="21"/>
        </w:rPr>
        <w:t>Interpreting information is on the quantitative list. So a question that gives a student a chart and asks what it shows is a quantitative question even though nothing is calculated. That is why the 20% is easier to reach than it looks, and why students who say they are "not doing the maths bit" have misunderstood which bit they are refusing.</w:t>
      </w:r>
    </w:p>
    <w:p>
      <w:r>
        <w:t>______________________________________________________________</w:t>
      </w:r>
    </w:p>
    <w:p>
      <w:r>
        <w:rPr>
          <w:b/>
          <w:i w:val="0"/>
          <w:sz w:val="21"/>
        </w:rPr>
        <w:t>Where to look.</w:t>
      </w:r>
      <w:r>
        <w:rPr>
          <w:b w:val="0"/>
          <w:i w:val="0"/>
          <w:sz w:val="21"/>
        </w:rPr>
        <w:t xml:space="preserve"> AQA specification, section 7, Annex: Quantitative skills in Economics, with 7.1 for AS and 7.2 for A-level. Pearson, Getting Started guide, section 6, Quantitative skills.</w:t>
      </w:r>
    </w:p>
    <w:p>
      <w:r>
        <w:br w:type="page"/>
      </w:r>
    </w:p>
    <w:p>
      <w:pPr>
        <w:spacing w:before="200"/>
      </w:pPr>
      <w:r>
        <w:rPr>
          <w:b/>
          <w:i w:val="0"/>
          <w:color w:val="0B3D2E"/>
          <w:sz w:val="28"/>
        </w:rPr>
        <w:t>Nine questions, one per skill</w:t>
      </w:r>
    </w:p>
    <w:p>
      <w:r>
        <w:rPr>
          <w:b w:val="0"/>
          <w:i w:val="0"/>
          <w:sz w:val="21"/>
        </w:rPr>
        <w:t>Written by us, not by a board, in the order of AQA's list on page 7. Every figure is invented for the exercise. Twenty minutes, week one, to find out which of the nine is missing before it matters.</w:t>
      </w:r>
    </w:p>
    <w:tbl>
      <w:tblPr>
        <w:tblStyle w:val="TableGrid"/>
        <w:tblW w:type="auto" w:w="0"/>
        <w:tblLook w:firstColumn="1" w:firstRow="1" w:lastColumn="0" w:lastRow="0" w:noHBand="0" w:noVBand="1" w:val="04A0"/>
      </w:tblPr>
      <w:tblGrid>
        <w:gridCol w:w="4986"/>
        <w:gridCol w:w="4986"/>
      </w:tblGrid>
      <w:tr>
        <w:tc>
          <w:tcPr>
            <w:tcW w:type="dxa" w:w="4986"/>
          </w:tcPr>
          <w:p>
            <w:r/>
            <w:r>
              <w:rPr>
                <w:b/>
                <w:i w:val="0"/>
                <w:sz w:val="19"/>
              </w:rPr>
              <w:t>#</w:t>
            </w:r>
          </w:p>
        </w:tc>
        <w:tc>
          <w:tcPr>
            <w:tcW w:type="dxa" w:w="4986"/>
          </w:tcPr>
          <w:p>
            <w:r/>
            <w:r>
              <w:rPr>
                <w:b/>
                <w:i w:val="0"/>
                <w:sz w:val="19"/>
              </w:rPr>
              <w:t>Question</w:t>
            </w:r>
          </w:p>
        </w:tc>
      </w:tr>
      <w:tr>
        <w:tc>
          <w:tcPr>
            <w:tcW w:type="dxa" w:w="4986"/>
          </w:tcPr>
          <w:p>
            <w:r/>
            <w:r>
              <w:rPr>
                <w:b w:val="0"/>
                <w:i w:val="0"/>
                <w:sz w:val="19"/>
              </w:rPr>
              <w:t>1</w:t>
            </w:r>
          </w:p>
        </w:tc>
        <w:tc>
          <w:tcPr>
            <w:tcW w:type="dxa" w:w="4986"/>
          </w:tcPr>
          <w:p>
            <w:r/>
            <w:r>
              <w:rPr>
                <w:b w:val="0"/>
                <w:i w:val="0"/>
                <w:sz w:val="19"/>
              </w:rPr>
              <w:t>A firm splits output between two plants in the ratio 3:5. Total output is 4,800 units. How many units come from the larger plant?</w:t>
            </w:r>
          </w:p>
        </w:tc>
      </w:tr>
      <w:tr>
        <w:tc>
          <w:tcPr>
            <w:tcW w:type="dxa" w:w="4986"/>
          </w:tcPr>
          <w:p>
            <w:r/>
            <w:r>
              <w:rPr>
                <w:b w:val="0"/>
                <w:i w:val="0"/>
                <w:sz w:val="19"/>
              </w:rPr>
              <w:t>2</w:t>
            </w:r>
          </w:p>
        </w:tc>
        <w:tc>
          <w:tcPr>
            <w:tcW w:type="dxa" w:w="4986"/>
          </w:tcPr>
          <w:p>
            <w:r/>
            <w:r>
              <w:rPr>
                <w:b w:val="0"/>
                <w:i w:val="0"/>
                <w:sz w:val="19"/>
              </w:rPr>
              <w:t>A price rises from £2.40 to £2.61. What is the percentage change, to one decimal place?</w:t>
            </w:r>
          </w:p>
        </w:tc>
      </w:tr>
      <w:tr>
        <w:tc>
          <w:tcPr>
            <w:tcW w:type="dxa" w:w="4986"/>
          </w:tcPr>
          <w:p>
            <w:r/>
            <w:r>
              <w:rPr>
                <w:b w:val="0"/>
                <w:i w:val="0"/>
                <w:sz w:val="19"/>
              </w:rPr>
              <w:t>3</w:t>
            </w:r>
          </w:p>
        </w:tc>
        <w:tc>
          <w:tcPr>
            <w:tcW w:type="dxa" w:w="4986"/>
          </w:tcPr>
          <w:p>
            <w:r/>
            <w:r>
              <w:rPr>
                <w:b w:val="0"/>
                <w:i w:val="0"/>
                <w:sz w:val="19"/>
              </w:rPr>
              <w:t>Five workers earn £310, £290, £470, £305 and £300 a week. Give the mean and the median. Which better describes this group?</w:t>
            </w:r>
          </w:p>
        </w:tc>
      </w:tr>
      <w:tr>
        <w:tc>
          <w:tcPr>
            <w:tcW w:type="dxa" w:w="4986"/>
          </w:tcPr>
          <w:p>
            <w:r/>
            <w:r>
              <w:rPr>
                <w:b w:val="0"/>
                <w:i w:val="0"/>
                <w:sz w:val="19"/>
              </w:rPr>
              <w:t>4</w:t>
            </w:r>
          </w:p>
        </w:tc>
        <w:tc>
          <w:tcPr>
            <w:tcW w:type="dxa" w:w="4986"/>
          </w:tcPr>
          <w:p>
            <w:r/>
            <w:r>
              <w:rPr>
                <w:b w:val="0"/>
                <w:i w:val="0"/>
                <w:sz w:val="19"/>
              </w:rPr>
              <w:t>A real GDP index reads 100 in 2020, 104.2 in 2021 and 101.9 in 2022. Sketch it as a line chart and say what happened to real GDP in 2022.</w:t>
            </w:r>
          </w:p>
        </w:tc>
      </w:tr>
      <w:tr>
        <w:tc>
          <w:tcPr>
            <w:tcW w:type="dxa" w:w="4986"/>
          </w:tcPr>
          <w:p>
            <w:r/>
            <w:r>
              <w:rPr>
                <w:b w:val="0"/>
                <w:i w:val="0"/>
                <w:sz w:val="19"/>
              </w:rPr>
              <w:t>5</w:t>
            </w:r>
          </w:p>
        </w:tc>
        <w:tc>
          <w:tcPr>
            <w:tcW w:type="dxa" w:w="4986"/>
          </w:tcPr>
          <w:p>
            <w:r/>
            <w:r>
              <w:rPr>
                <w:b w:val="0"/>
                <w:i w:val="0"/>
                <w:sz w:val="19"/>
              </w:rPr>
              <w:t>Sales were 1.25 million units in the base year and 1.41 million this year. Give this year's index number to two decimal places.</w:t>
            </w:r>
          </w:p>
        </w:tc>
      </w:tr>
      <w:tr>
        <w:tc>
          <w:tcPr>
            <w:tcW w:type="dxa" w:w="4986"/>
          </w:tcPr>
          <w:p>
            <w:r/>
            <w:r>
              <w:rPr>
                <w:b w:val="0"/>
                <w:i w:val="0"/>
                <w:sz w:val="19"/>
              </w:rPr>
              <w:t>6</w:t>
            </w:r>
          </w:p>
        </w:tc>
        <w:tc>
          <w:tcPr>
            <w:tcW w:type="dxa" w:w="4986"/>
          </w:tcPr>
          <w:p>
            <w:r/>
            <w:r>
              <w:rPr>
                <w:b w:val="0"/>
                <w:i w:val="0"/>
                <w:sz w:val="19"/>
              </w:rPr>
              <w:t>A firm makes 200 units. Total cost £3,600, selling price £26. Give total revenue, profit and average cost. The 201st unit would take total cost to £3,617. Make it?</w:t>
            </w:r>
          </w:p>
        </w:tc>
      </w:tr>
      <w:tr>
        <w:tc>
          <w:tcPr>
            <w:tcW w:type="dxa" w:w="4986"/>
          </w:tcPr>
          <w:p>
            <w:r/>
            <w:r>
              <w:rPr>
                <w:b w:val="0"/>
                <w:i w:val="0"/>
                <w:sz w:val="19"/>
              </w:rPr>
              <w:t>7</w:t>
            </w:r>
          </w:p>
        </w:tc>
        <w:tc>
          <w:tcPr>
            <w:tcW w:type="dxa" w:w="4986"/>
          </w:tcPr>
          <w:p>
            <w:r/>
            <w:r>
              <w:rPr>
                <w:b w:val="0"/>
                <w:i w:val="0"/>
                <w:sz w:val="19"/>
              </w:rPr>
              <w:t>A worker earned £520 a week in 2024 and £546 in 2026. The price index was 100 in 2024 and 107 in 2026. What is the 2026 wage in 2024 prices, and is the worker better off?</w:t>
            </w:r>
          </w:p>
        </w:tc>
      </w:tr>
      <w:tr>
        <w:tc>
          <w:tcPr>
            <w:tcW w:type="dxa" w:w="4986"/>
          </w:tcPr>
          <w:p>
            <w:r/>
            <w:r>
              <w:rPr>
                <w:b w:val="0"/>
                <w:i w:val="0"/>
                <w:sz w:val="19"/>
              </w:rPr>
              <w:t>8</w:t>
            </w:r>
          </w:p>
        </w:tc>
        <w:tc>
          <w:tcPr>
            <w:tcW w:type="dxa" w:w="4986"/>
          </w:tcPr>
          <w:p>
            <w:r/>
            <w:r>
              <w:rPr>
                <w:b w:val="0"/>
                <w:i w:val="0"/>
                <w:sz w:val="19"/>
              </w:rPr>
              <w:t>Price falls from £5.00 to £4.50 and quantity demanded rises from 800 to 920. Calculate price elasticity of demand. What should happen to total revenue, and does it?</w:t>
            </w:r>
          </w:p>
        </w:tc>
      </w:tr>
      <w:tr>
        <w:tc>
          <w:tcPr>
            <w:tcW w:type="dxa" w:w="4986"/>
          </w:tcPr>
          <w:p>
            <w:r/>
            <w:r>
              <w:rPr>
                <w:b w:val="0"/>
                <w:i w:val="0"/>
                <w:sz w:val="19"/>
              </w:rPr>
              <w:t>9</w:t>
            </w:r>
          </w:p>
        </w:tc>
        <w:tc>
          <w:tcPr>
            <w:tcW w:type="dxa" w:w="4986"/>
          </w:tcPr>
          <w:p>
            <w:r/>
            <w:r>
              <w:rPr>
                <w:b w:val="0"/>
                <w:i w:val="0"/>
                <w:sz w:val="19"/>
              </w:rPr>
              <w:t>The unemployment rate was 4.1% in 2024 and 4.4% in 2026. A student writes "unemployment rose by 0.3%". Correct them in one sentence.</w:t>
            </w:r>
          </w:p>
        </w:tc>
      </w:tr>
    </w:tbl>
    <w:p/>
    <w:p>
      <w:pPr>
        <w:spacing w:before="160"/>
      </w:pPr>
      <w:r>
        <w:rPr>
          <w:b/>
          <w:i w:val="0"/>
          <w:sz w:val="23"/>
        </w:rPr>
        <w:t>Answers</w:t>
      </w:r>
    </w:p>
    <w:tbl>
      <w:tblPr>
        <w:tblStyle w:val="TableGrid"/>
        <w:tblW w:type="auto" w:w="0"/>
        <w:tblLook w:firstColumn="1" w:firstRow="1" w:lastColumn="0" w:lastRow="0" w:noHBand="0" w:noVBand="1" w:val="04A0"/>
      </w:tblPr>
      <w:tblGrid>
        <w:gridCol w:w="4986"/>
        <w:gridCol w:w="4986"/>
      </w:tblGrid>
      <w:tr>
        <w:tc>
          <w:tcPr>
            <w:tcW w:type="dxa" w:w="4986"/>
          </w:tcPr>
          <w:p>
            <w:r/>
            <w:r>
              <w:rPr>
                <w:b/>
                <w:i w:val="0"/>
                <w:sz w:val="19"/>
              </w:rPr>
              <w:t>1</w:t>
            </w:r>
          </w:p>
        </w:tc>
        <w:tc>
          <w:tcPr>
            <w:tcW w:type="dxa" w:w="4986"/>
          </w:tcPr>
          <w:p>
            <w:r/>
            <w:r>
              <w:rPr>
                <w:b w:val="0"/>
                <w:i w:val="0"/>
                <w:sz w:val="19"/>
              </w:rPr>
              <w:t>3,000 units. 5 of the 8 parts, so 4,800 x 5/8.</w:t>
            </w:r>
          </w:p>
        </w:tc>
      </w:tr>
      <w:tr>
        <w:tc>
          <w:tcPr>
            <w:tcW w:type="dxa" w:w="4986"/>
          </w:tcPr>
          <w:p>
            <w:r/>
            <w:r>
              <w:rPr>
                <w:b/>
                <w:i w:val="0"/>
                <w:sz w:val="19"/>
              </w:rPr>
              <w:t>2</w:t>
            </w:r>
          </w:p>
        </w:tc>
        <w:tc>
          <w:tcPr>
            <w:tcW w:type="dxa" w:w="4986"/>
          </w:tcPr>
          <w:p>
            <w:r/>
            <w:r>
              <w:rPr>
                <w:b w:val="0"/>
                <w:i w:val="0"/>
                <w:sz w:val="19"/>
              </w:rPr>
              <w:t>A rise of 8.8%. 0.21 divided by 2.40 is 8.75%.</w:t>
            </w:r>
          </w:p>
        </w:tc>
      </w:tr>
      <w:tr>
        <w:tc>
          <w:tcPr>
            <w:tcW w:type="dxa" w:w="4986"/>
          </w:tcPr>
          <w:p>
            <w:r/>
            <w:r>
              <w:rPr>
                <w:b/>
                <w:i w:val="0"/>
                <w:sz w:val="19"/>
              </w:rPr>
              <w:t>3</w:t>
            </w:r>
          </w:p>
        </w:tc>
        <w:tc>
          <w:tcPr>
            <w:tcW w:type="dxa" w:w="4986"/>
          </w:tcPr>
          <w:p>
            <w:r/>
            <w:r>
              <w:rPr>
                <w:b w:val="0"/>
                <w:i w:val="0"/>
                <w:sz w:val="19"/>
              </w:rPr>
              <w:t>Mean £335, median £305. The median, because the £470 pulls the mean above four of the five workers.</w:t>
            </w:r>
          </w:p>
        </w:tc>
      </w:tr>
      <w:tr>
        <w:tc>
          <w:tcPr>
            <w:tcW w:type="dxa" w:w="4986"/>
          </w:tcPr>
          <w:p>
            <w:r/>
            <w:r>
              <w:rPr>
                <w:b/>
                <w:i w:val="0"/>
                <w:sz w:val="19"/>
              </w:rPr>
              <w:t>4</w:t>
            </w:r>
          </w:p>
        </w:tc>
        <w:tc>
          <w:tcPr>
            <w:tcW w:type="dxa" w:w="4986"/>
          </w:tcPr>
          <w:p>
            <w:r/>
            <w:r>
              <w:rPr>
                <w:b w:val="0"/>
                <w:i w:val="0"/>
                <w:sz w:val="19"/>
              </w:rPr>
              <w:t>It fell, by about 2.2%. Watch for "it fell by 2.3", which subtracts index points instead of dividing by 104.2.</w:t>
            </w:r>
          </w:p>
        </w:tc>
      </w:tr>
      <w:tr>
        <w:tc>
          <w:tcPr>
            <w:tcW w:type="dxa" w:w="4986"/>
          </w:tcPr>
          <w:p>
            <w:r/>
            <w:r>
              <w:rPr>
                <w:b/>
                <w:i w:val="0"/>
                <w:sz w:val="19"/>
              </w:rPr>
              <w:t>5</w:t>
            </w:r>
          </w:p>
        </w:tc>
        <w:tc>
          <w:tcPr>
            <w:tcW w:type="dxa" w:w="4986"/>
          </w:tcPr>
          <w:p>
            <w:r/>
            <w:r>
              <w:rPr>
                <w:b w:val="0"/>
                <w:i w:val="0"/>
                <w:sz w:val="19"/>
              </w:rPr>
              <w:t>112.80. 1.41 divided by 1.25, times 100.</w:t>
            </w:r>
          </w:p>
        </w:tc>
      </w:tr>
      <w:tr>
        <w:tc>
          <w:tcPr>
            <w:tcW w:type="dxa" w:w="4986"/>
          </w:tcPr>
          <w:p>
            <w:r/>
            <w:r>
              <w:rPr>
                <w:b/>
                <w:i w:val="0"/>
                <w:sz w:val="19"/>
              </w:rPr>
              <w:t>6</w:t>
            </w:r>
          </w:p>
        </w:tc>
        <w:tc>
          <w:tcPr>
            <w:tcW w:type="dxa" w:w="4986"/>
          </w:tcPr>
          <w:p>
            <w:r/>
            <w:r>
              <w:rPr>
                <w:b w:val="0"/>
                <w:i w:val="0"/>
                <w:sz w:val="19"/>
              </w:rPr>
              <w:t>Revenue £5,200, profit £1,600, average cost £18. Yes: the extra unit costs £17 and earns £26.</w:t>
            </w:r>
          </w:p>
        </w:tc>
      </w:tr>
      <w:tr>
        <w:tc>
          <w:tcPr>
            <w:tcW w:type="dxa" w:w="4986"/>
          </w:tcPr>
          <w:p>
            <w:r/>
            <w:r>
              <w:rPr>
                <w:b/>
                <w:i w:val="0"/>
                <w:sz w:val="19"/>
              </w:rPr>
              <w:t>7</w:t>
            </w:r>
          </w:p>
        </w:tc>
        <w:tc>
          <w:tcPr>
            <w:tcW w:type="dxa" w:w="4986"/>
          </w:tcPr>
          <w:p>
            <w:r/>
            <w:r>
              <w:rPr>
                <w:b w:val="0"/>
                <w:i w:val="0"/>
                <w:sz w:val="19"/>
              </w:rPr>
              <w:t>£510.28 in 2024 prices, so no. Wages rose 5%, prices 7%, real wage down about 1.9%.</w:t>
            </w:r>
          </w:p>
        </w:tc>
      </w:tr>
      <w:tr>
        <w:tc>
          <w:tcPr>
            <w:tcW w:type="dxa" w:w="4986"/>
          </w:tcPr>
          <w:p>
            <w:r/>
            <w:r>
              <w:rPr>
                <w:b/>
                <w:i w:val="0"/>
                <w:sz w:val="19"/>
              </w:rPr>
              <w:t>8</w:t>
            </w:r>
          </w:p>
        </w:tc>
        <w:tc>
          <w:tcPr>
            <w:tcW w:type="dxa" w:w="4986"/>
          </w:tcPr>
          <w:p>
            <w:r/>
            <w:r>
              <w:rPr>
                <w:b w:val="0"/>
                <w:i w:val="0"/>
                <w:sz w:val="19"/>
              </w:rPr>
              <w:t>Quantity up 15%, price down 10%, so PED is minus 1.5, elastic. Revenue rises: £4,000 becomes £4,140.</w:t>
            </w:r>
          </w:p>
        </w:tc>
      </w:tr>
      <w:tr>
        <w:tc>
          <w:tcPr>
            <w:tcW w:type="dxa" w:w="4986"/>
          </w:tcPr>
          <w:p>
            <w:r/>
            <w:r>
              <w:rPr>
                <w:b/>
                <w:i w:val="0"/>
                <w:sz w:val="19"/>
              </w:rPr>
              <w:t>9</w:t>
            </w:r>
          </w:p>
        </w:tc>
        <w:tc>
          <w:tcPr>
            <w:tcW w:type="dxa" w:w="4986"/>
          </w:tcPr>
          <w:p>
            <w:r/>
            <w:r>
              <w:rPr>
                <w:b w:val="0"/>
                <w:i w:val="0"/>
                <w:sz w:val="19"/>
              </w:rPr>
              <w:t>It rose by 0.3 percentage points. As a share of the original rate that is a rise of about 7.3%.</w:t>
            </w:r>
          </w:p>
        </w:tc>
      </w:tr>
    </w:tbl>
    <w:p/>
    <w:p>
      <w:r>
        <w:t>______________________________________________________________</w:t>
      </w:r>
    </w:p>
    <w:p>
      <w:r>
        <w:rPr>
          <w:b/>
          <w:i w:val="0"/>
          <w:sz w:val="21"/>
        </w:rPr>
        <w:t>Marking it.</w:t>
      </w:r>
      <w:r>
        <w:rPr>
          <w:b w:val="0"/>
          <w:i w:val="0"/>
          <w:sz w:val="21"/>
        </w:rPr>
        <w:t xml:space="preserve"> Question 9 is the one worth reading first. A student who holds percentage points apart from per cent will not lose data response marks all year.</w:t>
      </w:r>
    </w:p>
    <w:p>
      <w:r>
        <w:br w:type="page"/>
      </w:r>
    </w:p>
    <w:p>
      <w:pPr>
        <w:spacing w:before="200"/>
      </w:pPr>
      <w:r>
        <w:rPr>
          <w:b/>
          <w:i w:val="0"/>
          <w:color w:val="0B3D2E"/>
          <w:sz w:val="28"/>
        </w:rPr>
        <w:t>First half term checklist</w:t>
      </w:r>
    </w:p>
    <w:p>
      <w:pPr>
        <w:pStyle w:val="ListBullet"/>
      </w:pPr>
      <w:r>
        <w:rPr>
          <w:b w:val="0"/>
          <w:i w:val="0"/>
          <w:sz w:val="21"/>
        </w:rPr>
        <w:t>Run the nine question baseline in week one and record which of the nine skills the class is missing.</w:t>
      </w:r>
    </w:p>
    <w:p>
      <w:pPr>
        <w:pStyle w:val="ListBullet"/>
      </w:pPr>
      <w:r>
        <w:rPr>
          <w:b w:val="0"/>
          <w:i w:val="0"/>
          <w:sz w:val="21"/>
        </w:rPr>
        <w:t>Give every student both AQA grids, or Pearson's taxonomy table, on one side of A4 in the first fortnight.</w:t>
      </w:r>
    </w:p>
    <w:p>
      <w:pPr>
        <w:pStyle w:val="ListBullet"/>
      </w:pPr>
      <w:r>
        <w:rPr>
          <w:b w:val="0"/>
          <w:i w:val="0"/>
          <w:sz w:val="21"/>
        </w:rPr>
        <w:t>Set your first 15 mark question and your first 25 mark question in the same half term, so the difference is felt and not just described.</w:t>
      </w:r>
    </w:p>
    <w:p>
      <w:pPr>
        <w:pStyle w:val="ListBullet"/>
      </w:pPr>
      <w:r>
        <w:rPr>
          <w:b w:val="0"/>
          <w:i w:val="0"/>
          <w:sz w:val="21"/>
        </w:rPr>
        <w:t>Say out loud, more than once, that evaluation earns nothing on a 15 and everything on a 25.</w:t>
      </w:r>
    </w:p>
    <w:p>
      <w:pPr>
        <w:pStyle w:val="ListBullet"/>
      </w:pPr>
      <w:r>
        <w:rPr>
          <w:b w:val="0"/>
          <w:i w:val="0"/>
          <w:sz w:val="21"/>
        </w:rPr>
        <w:t>Put a calculation into every data response you set. The twenty per cent is a floor, not a topic.</w:t>
      </w:r>
    </w:p>
    <w:p>
      <w:pPr>
        <w:pStyle w:val="ListBullet"/>
      </w:pPr>
      <w:r>
        <w:rPr>
          <w:b w:val="0"/>
          <w:i w:val="0"/>
          <w:sz w:val="21"/>
        </w:rPr>
        <w:t>Check that your command word poster matches your board. AQA's grids and Pearson's taxonomy are not interchangeable.</w:t>
      </w:r>
    </w:p>
    <w:p>
      <w:pPr>
        <w:pStyle w:val="ListBullet"/>
      </w:pPr>
      <w:r>
        <w:rPr>
          <w:b w:val="0"/>
          <w:i w:val="0"/>
          <w:sz w:val="21"/>
        </w:rPr>
        <w:t>Read one published mark scheme yourself before you write your own.</w:t>
      </w:r>
    </w:p>
    <w:p>
      <w:pPr>
        <w:spacing w:before="200"/>
      </w:pPr>
      <w:r>
        <w:rPr>
          <w:b/>
          <w:i w:val="0"/>
          <w:color w:val="0B3D2E"/>
          <w:sz w:val="28"/>
        </w:rPr>
        <w:t>Check this pack yourself</w:t>
      </w:r>
    </w:p>
    <w:tbl>
      <w:tblPr>
        <w:tblStyle w:val="TableGrid"/>
        <w:tblW w:type="auto" w:w="0"/>
        <w:tblLook w:firstColumn="1" w:firstRow="1" w:lastColumn="0" w:lastRow="0" w:noHBand="0" w:noVBand="1" w:val="04A0"/>
      </w:tblPr>
      <w:tblGrid>
        <w:gridCol w:w="4986"/>
        <w:gridCol w:w="4986"/>
      </w:tblGrid>
      <w:tr>
        <w:tc>
          <w:tcPr>
            <w:tcW w:type="dxa" w:w="4986"/>
          </w:tcPr>
          <w:p>
            <w:r/>
            <w:r>
              <w:rPr>
                <w:b/>
                <w:i w:val="0"/>
                <w:sz w:val="19"/>
              </w:rPr>
              <w:t>What to check</w:t>
            </w:r>
          </w:p>
        </w:tc>
        <w:tc>
          <w:tcPr>
            <w:tcW w:type="dxa" w:w="4986"/>
          </w:tcPr>
          <w:p>
            <w:r/>
            <w:r>
              <w:rPr>
                <w:b/>
                <w:i w:val="0"/>
                <w:sz w:val="19"/>
              </w:rPr>
              <w:t>Where</w:t>
            </w:r>
          </w:p>
        </w:tc>
      </w:tr>
      <w:tr>
        <w:tc>
          <w:tcPr>
            <w:tcW w:type="dxa" w:w="4986"/>
          </w:tcPr>
          <w:p>
            <w:r/>
            <w:r>
              <w:rPr>
                <w:b w:val="0"/>
                <w:i w:val="0"/>
                <w:sz w:val="19"/>
              </w:rPr>
              <w:t>AQA paper structures, AO weightings, the nine quantitative skills, the 20% minimum</w:t>
            </w:r>
          </w:p>
        </w:tc>
        <w:tc>
          <w:tcPr>
            <w:tcW w:type="dxa" w:w="4986"/>
          </w:tcPr>
          <w:p>
            <w:r/>
            <w:r>
              <w:rPr>
                <w:b w:val="0"/>
                <w:i w:val="0"/>
                <w:sz w:val="19"/>
              </w:rPr>
              <w:t>AQA AS and A-level Economics 7135, 7136 specification, version 1.3. filestore.aqa.org.uk, Economics, specifications</w:t>
            </w:r>
          </w:p>
        </w:tc>
      </w:tr>
      <w:tr>
        <w:tc>
          <w:tcPr>
            <w:tcW w:type="dxa" w:w="4986"/>
          </w:tcPr>
          <w:p>
            <w:r/>
            <w:r>
              <w:rPr>
                <w:b w:val="0"/>
                <w:i w:val="0"/>
                <w:sz w:val="19"/>
              </w:rPr>
              <w:t>The June 2023 tariffs and both levels of response grids</w:t>
            </w:r>
          </w:p>
        </w:tc>
        <w:tc>
          <w:tcPr>
            <w:tcW w:type="dxa" w:w="4986"/>
          </w:tcPr>
          <w:p>
            <w:r/>
            <w:r>
              <w:rPr>
                <w:b w:val="0"/>
                <w:i w:val="0"/>
                <w:sz w:val="19"/>
              </w:rPr>
              <w:t>AQA mark scheme, A-level Economics 7136/1, June 2023. filestore.aqa.org.uk, sample papers and mark schemes, 2023, June</w:t>
            </w:r>
          </w:p>
        </w:tc>
      </w:tr>
      <w:tr>
        <w:tc>
          <w:tcPr>
            <w:tcW w:type="dxa" w:w="4986"/>
          </w:tcPr>
          <w:p>
            <w:r/>
            <w:r>
              <w:rPr>
                <w:b w:val="0"/>
                <w:i w:val="0"/>
                <w:sz w:val="19"/>
              </w:rPr>
              <w:t>Edexcel paper structures, the command word table, the 20% minimum</w:t>
            </w:r>
          </w:p>
        </w:tc>
        <w:tc>
          <w:tcPr>
            <w:tcW w:type="dxa" w:w="4986"/>
          </w:tcPr>
          <w:p>
            <w:r/>
            <w:r>
              <w:rPr>
                <w:b w:val="0"/>
                <w:i w:val="0"/>
                <w:sz w:val="19"/>
              </w:rPr>
              <w:t>Pearson, Getting Started guide, GCE Economics A 2015. qualifications.pearson.com, A level, Economics A</w:t>
            </w:r>
          </w:p>
        </w:tc>
      </w:tr>
    </w:tbl>
    <w:p/>
    <w:p>
      <w:pPr>
        <w:spacing w:before="160"/>
      </w:pPr>
      <w:r>
        <w:rPr>
          <w:b/>
          <w:i w:val="0"/>
          <w:sz w:val="23"/>
        </w:rPr>
        <w:t>Two things this pack does not claim</w:t>
      </w:r>
    </w:p>
    <w:p>
      <w:r>
        <w:rPr>
          <w:b/>
          <w:i w:val="0"/>
          <w:sz w:val="21"/>
        </w:rPr>
        <w:t>A list of AQA Economics command words.</w:t>
      </w:r>
      <w:r>
        <w:rPr>
          <w:b w:val="0"/>
          <w:i w:val="0"/>
          <w:sz w:val="21"/>
        </w:rPr>
        <w:t xml:space="preserve"> You may have seen one with ten entries. AQA's own page for it returns an error, and no AQA PDF we opened carries a list. So this pack quotes the commands that appear on a real paper and in the published grids, and prints no list.</w:t>
      </w:r>
    </w:p>
    <w:p>
      <w:r>
        <w:rPr>
          <w:b/>
          <w:i w:val="0"/>
          <w:sz w:val="21"/>
        </w:rPr>
        <w:t>That either board has promised nothing will change.</w:t>
      </w:r>
      <w:r>
        <w:rPr>
          <w:b w:val="0"/>
          <w:i w:val="0"/>
          <w:sz w:val="21"/>
        </w:rPr>
        <w:t xml:space="preserve"> Neither has announced a replacement, but they are not in the same position. On its Business page, dated 28 April 2026, Pearson writes that </w:t>
      </w:r>
      <w:r>
        <w:rPr>
          <w:b/>
          <w:i w:val="0"/>
          <w:sz w:val="21"/>
        </w:rPr>
        <w:t>"learners beginning the course in September 2026 will continue to follow the current established specification"</w:t>
      </w:r>
      <w:r>
        <w:rPr>
          <w:b w:val="0"/>
          <w:i w:val="0"/>
          <w:sz w:val="21"/>
        </w:rPr>
        <w:t xml:space="preserve">. Its Economics A delivery support page, dated 29 April 2026, does not say that. It says the Curriculum and Assessment Review's final report and timelines have been published and that </w:t>
      </w:r>
      <w:r>
        <w:rPr>
          <w:b/>
          <w:i w:val="0"/>
          <w:sz w:val="21"/>
        </w:rPr>
        <w:t>"we are now considering the implications for A level Economics. We will keep you informed of any further developments."</w:t>
      </w:r>
    </w:p>
    <w:p>
      <w:r>
        <w:rPr>
          <w:b w:val="0"/>
          <w:i w:val="0"/>
          <w:sz w:val="21"/>
        </w:rPr>
        <w:t>So Economics has no replacement and no assurance either. Nothing here depends on which way that goes, because it all describes the specification and mark schemes as they stand. If you are writing a two year plan, that is the sentence to watch, and it is Pearson's own.</w:t>
      </w:r>
    </w:p>
    <w:p>
      <w:r>
        <w:rPr>
          <w:b/>
          <w:i w:val="0"/>
          <w:sz w:val="21"/>
        </w:rPr>
        <w:t>Also free for A-level Economics:</w:t>
      </w:r>
      <w:r>
        <w:rPr>
          <w:b w:val="0"/>
          <w:i w:val="0"/>
          <w:sz w:val="21"/>
        </w:rPr>
        <w:t xml:space="preserve"> the Diagram Bank, the Data Response Decoder, and a first half term of Do Now starters. All at thebusiness.school/resources, no sign up. Made something that works? Put it on the same shelf at thebusiness.school/resources/share.</w:t>
      </w:r>
    </w:p>
    <w:p>
      <w:r>
        <w:t>______________________________________________________________</w:t>
      </w:r>
    </w:p>
    <w:p>
      <w:r>
        <w:rPr>
          <w:b/>
          <w:i w:val="0"/>
          <w:sz w:val="21"/>
        </w:rPr>
        <w:t>Free, and staying free.</w:t>
      </w:r>
      <w:r>
        <w:rPr>
          <w:b w:val="0"/>
          <w:i w:val="0"/>
          <w:sz w:val="21"/>
        </w:rPr>
        <w:t xml:space="preserve"> Written by Sakari Laajoki, TBS Education Ltd Oy, company number 3614159-3. More at thebusiness.school/resources. No sign up, no email wall, no catch.</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